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AD3FD65" w:rsidR="00016B4E" w:rsidRDefault="006E154A"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6F3AA266"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FC2917">
        <w:rPr>
          <w:rFonts w:ascii="Verdana" w:hAnsi="Verdana"/>
          <w:b/>
          <w:sz w:val="20"/>
          <w:szCs w:val="20"/>
          <w:lang w:val="bg-BG"/>
        </w:rPr>
        <w:t>921</w:t>
      </w:r>
    </w:p>
    <w:p w14:paraId="3D3A5C46" w14:textId="4A877B25" w:rsidR="007F6AC2" w:rsidRDefault="00FC2917" w:rsidP="00016B4E">
      <w:pPr>
        <w:jc w:val="center"/>
        <w:rPr>
          <w:rFonts w:ascii="Verdana" w:hAnsi="Verdana"/>
          <w:b/>
          <w:sz w:val="20"/>
          <w:szCs w:val="20"/>
          <w:lang w:val="bg-BG"/>
        </w:rPr>
      </w:pPr>
      <w:r>
        <w:rPr>
          <w:rFonts w:ascii="Verdana" w:hAnsi="Verdana"/>
          <w:b/>
          <w:sz w:val="20"/>
          <w:szCs w:val="20"/>
          <w:lang w:val="bg-BG"/>
        </w:rPr>
        <w:t xml:space="preserve">„Извършване на ремонт на 1 бр. лентова филтър преса </w:t>
      </w:r>
      <w:r>
        <w:rPr>
          <w:rFonts w:ascii="Verdana" w:hAnsi="Verdana"/>
          <w:b/>
          <w:sz w:val="20"/>
          <w:szCs w:val="20"/>
          <w:lang w:val="en-US"/>
        </w:rPr>
        <w:t>MASS BP 2500</w:t>
      </w:r>
      <w:r w:rsidR="000B1F43">
        <w:rPr>
          <w:rFonts w:ascii="Verdana" w:hAnsi="Verdana"/>
          <w:b/>
          <w:sz w:val="20"/>
          <w:szCs w:val="20"/>
          <w:lang w:val="bg-BG"/>
        </w:rPr>
        <w:t>“</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738BBB3A"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FC2917" w:rsidRPr="00FC2917">
        <w:rPr>
          <w:rFonts w:ascii="Verdana" w:hAnsi="Verdana"/>
          <w:b/>
          <w:sz w:val="20"/>
          <w:szCs w:val="20"/>
          <w:lang w:val="bg-BG"/>
        </w:rPr>
        <w:t>Извършване на ремонт на 1 бр. лентова филтър преса MASS BP 2500</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0B2F8CF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08F5F771" w:rsidR="00815B8B" w:rsidRPr="00310234" w:rsidRDefault="00815B8B" w:rsidP="000B1F43">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FC2917">
        <w:rPr>
          <w:rFonts w:ascii="Verdana" w:hAnsi="Verdana"/>
          <w:b/>
          <w:sz w:val="20"/>
          <w:szCs w:val="20"/>
          <w:lang w:val="bg-BG"/>
        </w:rPr>
        <w:t xml:space="preserve">Извършване на ремонт на 1 бр. лентова филтър преса </w:t>
      </w:r>
      <w:r w:rsidR="00FC2917">
        <w:rPr>
          <w:rFonts w:ascii="Verdana" w:hAnsi="Verdana"/>
          <w:b/>
          <w:sz w:val="20"/>
          <w:szCs w:val="20"/>
          <w:lang w:val="en-US"/>
        </w:rPr>
        <w:t>MASS BP 2500</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6430F4D9"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9E0F86" w:rsidRPr="00E96D5E">
        <w:rPr>
          <w:rFonts w:ascii="Verdana" w:hAnsi="Verdana" w:cs="Arial"/>
          <w:b/>
          <w:sz w:val="20"/>
          <w:szCs w:val="20"/>
          <w:lang w:val="ru-RU"/>
        </w:rPr>
        <w:t xml:space="preserve"> </w:t>
      </w:r>
      <w:r w:rsidR="00751041">
        <w:rPr>
          <w:rFonts w:ascii="Verdana" w:hAnsi="Verdana" w:cs="Arial"/>
          <w:b/>
          <w:sz w:val="20"/>
          <w:szCs w:val="20"/>
          <w:lang w:val="bg-BG"/>
        </w:rPr>
        <w:t>–</w:t>
      </w:r>
      <w:r w:rsidR="009E0F86" w:rsidRPr="00E96D5E">
        <w:rPr>
          <w:rFonts w:ascii="Verdana" w:hAnsi="Verdana" w:cs="Arial"/>
          <w:b/>
          <w:sz w:val="20"/>
          <w:szCs w:val="20"/>
          <w:lang w:val="ru-RU"/>
        </w:rPr>
        <w:t xml:space="preserve"> </w:t>
      </w:r>
      <w:r w:rsidR="00FC2917">
        <w:rPr>
          <w:rFonts w:ascii="Verdana" w:hAnsi="Verdana" w:cs="Arial"/>
          <w:b/>
          <w:sz w:val="20"/>
          <w:szCs w:val="20"/>
          <w:lang w:val="bg-BG"/>
        </w:rPr>
        <w:t>80 000</w:t>
      </w:r>
      <w:r w:rsidR="00EC774C">
        <w:rPr>
          <w:rFonts w:ascii="Verdana" w:hAnsi="Verdana" w:cs="Arial"/>
          <w:b/>
          <w:sz w:val="20"/>
          <w:szCs w:val="20"/>
          <w:lang w:val="bg-BG"/>
        </w:rPr>
        <w:t>,</w:t>
      </w:r>
      <w:r w:rsidR="00FC2917">
        <w:rPr>
          <w:rFonts w:ascii="Verdana" w:hAnsi="Verdana" w:cs="Arial"/>
          <w:b/>
          <w:sz w:val="20"/>
          <w:szCs w:val="20"/>
          <w:lang w:val="bg-BG"/>
        </w:rPr>
        <w:t xml:space="preserve">00 лв. без ДДС </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6E63D428"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6E154A">
        <w:rPr>
          <w:rFonts w:ascii="Verdana" w:hAnsi="Verdana" w:cs="Arial"/>
          <w:sz w:val="20"/>
          <w:szCs w:val="20"/>
          <w:lang w:val="bg-BG"/>
        </w:rPr>
        <w:t>5</w:t>
      </w:r>
      <w:r w:rsidR="00736679" w:rsidRPr="00815B8B">
        <w:rPr>
          <w:rFonts w:ascii="Verdana" w:hAnsi="Verdana" w:cs="Arial"/>
          <w:sz w:val="20"/>
          <w:szCs w:val="20"/>
          <w:lang w:val="bg-BG"/>
        </w:rPr>
        <w:t>% (</w:t>
      </w:r>
      <w:r w:rsidR="006E154A">
        <w:rPr>
          <w:rFonts w:ascii="Verdana" w:hAnsi="Verdana" w:cs="Arial"/>
          <w:sz w:val="20"/>
          <w:szCs w:val="20"/>
          <w:lang w:val="bg-BG"/>
        </w:rPr>
        <w:t>пет</w:t>
      </w:r>
      <w:r w:rsidR="00736679">
        <w:rPr>
          <w:rFonts w:ascii="Verdana" w:hAnsi="Verdana" w:cs="Arial"/>
          <w:sz w:val="20"/>
          <w:szCs w:val="20"/>
          <w:lang w:val="bg-BG"/>
        </w:rPr>
        <w:t xml:space="preserve"> </w:t>
      </w:r>
      <w:r w:rsidR="00342B15">
        <w:rPr>
          <w:rFonts w:ascii="Verdana" w:hAnsi="Verdana" w:cs="Arial"/>
          <w:sz w:val="20"/>
          <w:szCs w:val="20"/>
          <w:lang w:val="bg-BG"/>
        </w:rPr>
        <w:t>процент</w:t>
      </w:r>
      <w:r w:rsidR="00736679" w:rsidRPr="00815B8B">
        <w:rPr>
          <w:rFonts w:ascii="Verdana" w:hAnsi="Verdana" w:cs="Arial"/>
          <w:sz w:val="20"/>
          <w:szCs w:val="20"/>
          <w:lang w:val="bg-BG"/>
        </w:rPr>
        <w:t>) от стойността на договора.</w:t>
      </w:r>
      <w:r w:rsidR="00736679">
        <w:rPr>
          <w:rFonts w:ascii="Verdana" w:hAnsi="Verdana" w:cs="Arial"/>
          <w:sz w:val="20"/>
          <w:szCs w:val="20"/>
          <w:lang w:val="bg-BG"/>
        </w:rPr>
        <w:t xml:space="preserve"> Условията им</w:t>
      </w:r>
      <w:r w:rsidR="00736679" w:rsidRPr="00815B8B">
        <w:rPr>
          <w:rFonts w:ascii="Verdana" w:hAnsi="Verdana" w:cs="Arial"/>
          <w:sz w:val="20"/>
          <w:szCs w:val="20"/>
          <w:lang w:val="bg-BG"/>
        </w:rPr>
        <w:t xml:space="preserve"> са упоменати в договора.</w:t>
      </w:r>
    </w:p>
    <w:p w14:paraId="472623BB" w14:textId="7D2DDBA6"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24163A" w:rsidRDefault="00815B8B" w:rsidP="0086686D">
      <w:pPr>
        <w:pStyle w:val="ListParagraph"/>
        <w:numPr>
          <w:ilvl w:val="3"/>
          <w:numId w:val="11"/>
        </w:numPr>
        <w:shd w:val="clear" w:color="auto" w:fill="FFFFFF"/>
        <w:spacing w:line="276" w:lineRule="auto"/>
        <w:jc w:val="both"/>
        <w:rPr>
          <w:rFonts w:ascii="Verdana" w:hAnsi="Verdana"/>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BFAA6EC"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00220F5D">
        <w:rPr>
          <w:rFonts w:ascii="Verdana" w:hAnsi="Verdana"/>
          <w:sz w:val="20"/>
          <w:szCs w:val="20"/>
          <w:lang w:val="bg-BG"/>
        </w:rPr>
        <w:t xml:space="preserve"> и обособената позиция</w:t>
      </w:r>
      <w:r w:rsidRPr="00815B8B">
        <w:rPr>
          <w:rFonts w:ascii="Verdana" w:hAnsi="Verdana"/>
          <w:sz w:val="20"/>
          <w:szCs w:val="20"/>
          <w:lang w:val="bg-BG"/>
        </w:rPr>
        <w:t>.</w:t>
      </w:r>
    </w:p>
    <w:p w14:paraId="472623BF" w14:textId="682ED37C"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w:t>
      </w:r>
      <w:r w:rsidR="00F80FB6" w:rsidRPr="00E96D5E">
        <w:rPr>
          <w:rFonts w:ascii="Verdana" w:hAnsi="Verdana" w:cs="Tahoma"/>
          <w:color w:val="000000"/>
          <w:sz w:val="20"/>
          <w:szCs w:val="20"/>
          <w:lang w:val="ru-RU"/>
        </w:rPr>
        <w:t xml:space="preserve"> </w:t>
      </w:r>
      <w:r w:rsidRPr="00815B8B">
        <w:rPr>
          <w:rFonts w:ascii="Verdana" w:hAnsi="Verdana" w:cs="Tahoma"/>
          <w:color w:val="000000"/>
          <w:sz w:val="20"/>
          <w:szCs w:val="20"/>
          <w:lang w:val="bg-BG"/>
        </w:rPr>
        <w:t>гаранция</w:t>
      </w:r>
      <w:r w:rsidRPr="00F85277">
        <w:rPr>
          <w:rFonts w:ascii="Verdana" w:hAnsi="Verdana" w:cs="Tahoma"/>
          <w:color w:val="000000"/>
          <w:sz w:val="20"/>
          <w:szCs w:val="20"/>
          <w:lang w:val="bg-BG"/>
        </w:rPr>
        <w:t>:</w:t>
      </w:r>
      <w:r w:rsidR="00F80FB6" w:rsidRPr="00E96D5E">
        <w:rPr>
          <w:rFonts w:ascii="Verdana" w:hAnsi="Verdana" w:cs="Tahoma"/>
          <w:color w:val="000000"/>
          <w:sz w:val="20"/>
          <w:szCs w:val="20"/>
          <w:lang w:val="ru-RU"/>
        </w:rPr>
        <w:t xml:space="preserve"> </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lastRenderedPageBreak/>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6350734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xml:space="preserve">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6686D" w:rsidRDefault="002B4BF7"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 xml:space="preserve">Когато участникът, избран за изпълнител на </w:t>
      </w:r>
      <w:r w:rsidR="002B4BF7" w:rsidRPr="0086686D">
        <w:rPr>
          <w:rFonts w:ascii="Verdana" w:hAnsi="Verdana" w:cs="Tahoma"/>
          <w:color w:val="000000"/>
          <w:sz w:val="20"/>
          <w:szCs w:val="20"/>
          <w:lang w:val="bg-BG"/>
        </w:rPr>
        <w:t>обществена поръчка</w:t>
      </w:r>
      <w:r w:rsidRPr="0086686D">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w:t>
      </w:r>
      <w:r w:rsidR="00F87FEE" w:rsidRPr="0086686D">
        <w:rPr>
          <w:rFonts w:ascii="Verdana" w:hAnsi="Verdana" w:cs="Tahoma"/>
          <w:color w:val="000000"/>
          <w:sz w:val="20"/>
          <w:szCs w:val="20"/>
          <w:lang w:val="bg-BG"/>
        </w:rPr>
        <w:t xml:space="preserve"> обезпечаване на</w:t>
      </w:r>
      <w:r w:rsidRPr="0086686D">
        <w:rPr>
          <w:rFonts w:ascii="Verdana" w:hAnsi="Verdana" w:cs="Tahoma"/>
          <w:color w:val="000000"/>
          <w:sz w:val="20"/>
          <w:szCs w:val="20"/>
          <w:lang w:val="bg-BG"/>
        </w:rPr>
        <w:t xml:space="preserve"> изпълнение</w:t>
      </w:r>
      <w:r w:rsidR="00F87FEE" w:rsidRPr="0086686D">
        <w:rPr>
          <w:rFonts w:ascii="Verdana" w:hAnsi="Verdana" w:cs="Tahoma"/>
          <w:color w:val="000000"/>
          <w:sz w:val="20"/>
          <w:szCs w:val="20"/>
          <w:lang w:val="bg-BG"/>
        </w:rPr>
        <w:t>то</w:t>
      </w:r>
      <w:r w:rsidRPr="0086686D">
        <w:rPr>
          <w:rFonts w:ascii="Verdana" w:hAnsi="Verdana" w:cs="Tahoma"/>
          <w:color w:val="000000"/>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0102A9"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181973">
        <w:rPr>
          <w:rFonts w:ascii="Verdana" w:hAnsi="Verdana" w:cs="Arial"/>
          <w:b/>
          <w:sz w:val="20"/>
          <w:szCs w:val="20"/>
          <w:lang w:val="bg-BG"/>
        </w:rPr>
        <w:t xml:space="preserve"> </w:t>
      </w:r>
      <w:r w:rsidR="00181973" w:rsidRPr="005F3792">
        <w:rPr>
          <w:rFonts w:ascii="Verdana" w:hAnsi="Verdana" w:cs="Arial"/>
          <w:sz w:val="20"/>
          <w:szCs w:val="20"/>
          <w:lang w:val="bg-BG"/>
        </w:rPr>
        <w:t>Васил Борисов Тренев – Изпълнителен директор на</w:t>
      </w:r>
      <w:r w:rsidR="0018197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5F3792"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5F3792">
        <w:rPr>
          <w:rFonts w:ascii="Verdana" w:hAnsi="Verdana" w:cs="Tahoma"/>
          <w:b/>
          <w:color w:val="000000"/>
          <w:sz w:val="20"/>
          <w:szCs w:val="20"/>
          <w:lang w:val="bg-BG"/>
        </w:rPr>
        <w:t>Разяснения по условията на процедурата</w:t>
      </w:r>
      <w:r w:rsidR="00D328B3" w:rsidRPr="005F3792">
        <w:rPr>
          <w:rFonts w:ascii="Verdana" w:hAnsi="Verdana" w:cs="Tahoma"/>
          <w:b/>
          <w:color w:val="000000"/>
          <w:sz w:val="20"/>
          <w:szCs w:val="20"/>
          <w:lang w:val="bg-BG"/>
        </w:rPr>
        <w:t>:</w:t>
      </w:r>
    </w:p>
    <w:p w14:paraId="46B53031" w14:textId="77777777" w:rsidR="00F56E37" w:rsidRDefault="00F56E37" w:rsidP="00F56E37">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30069C2C" w14:textId="77777777" w:rsidR="00F56E37" w:rsidRPr="009421A6" w:rsidRDefault="00F56E37" w:rsidP="00F56E37">
      <w:pPr>
        <w:pStyle w:val="ListParagraph"/>
        <w:shd w:val="clear" w:color="auto" w:fill="FFFFFF"/>
        <w:spacing w:line="276" w:lineRule="auto"/>
        <w:ind w:left="1276"/>
        <w:jc w:val="both"/>
        <w:rPr>
          <w:rFonts w:ascii="Verdana" w:hAnsi="Verdana" w:cs="Tahoma"/>
          <w:color w:val="000000"/>
          <w:sz w:val="20"/>
          <w:szCs w:val="20"/>
          <w:lang w:val="bg-BG"/>
        </w:rPr>
      </w:pPr>
    </w:p>
    <w:p w14:paraId="08A20BB2" w14:textId="77777777" w:rsidR="00F56E37" w:rsidRPr="009421A6" w:rsidRDefault="00F56E37" w:rsidP="00F56E37">
      <w:pPr>
        <w:ind w:firstLine="480"/>
        <w:jc w:val="both"/>
        <w:rPr>
          <w:rFonts w:ascii="Verdana" w:hAnsi="Verdana" w:cs="Tahoma"/>
          <w:sz w:val="20"/>
          <w:szCs w:val="20"/>
          <w:lang w:val="bg-BG"/>
        </w:rPr>
      </w:pPr>
      <w:r w:rsidRPr="009421A6">
        <w:rPr>
          <w:rFonts w:ascii="Verdana" w:hAnsi="Verdana"/>
          <w:sz w:val="20"/>
          <w:szCs w:val="20"/>
          <w:lang w:val="bg-BG"/>
        </w:rPr>
        <w:lastRenderedPageBreak/>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BA7589F" w14:textId="77777777" w:rsidR="00F56E37" w:rsidRPr="00475B8B" w:rsidRDefault="00F56E37" w:rsidP="00F56E37">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1F23D324" w14:textId="77777777" w:rsidR="0065133A" w:rsidRPr="00B55BEB" w:rsidRDefault="0065133A" w:rsidP="0065133A">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5F3792">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lastRenderedPageBreak/>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0D5B64EF"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A73B3">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BA2431">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lastRenderedPageBreak/>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3A25E34A" w14:textId="63BD59A5" w:rsidR="002C639C" w:rsidRPr="0086686D" w:rsidRDefault="00B6248C" w:rsidP="002C639C">
      <w:pPr>
        <w:pStyle w:val="ListParagraph"/>
        <w:spacing w:before="120" w:after="120"/>
        <w:ind w:firstLine="696"/>
        <w:contextualSpacing w:val="0"/>
        <w:jc w:val="both"/>
        <w:rPr>
          <w:rFonts w:ascii="Verdana" w:hAnsi="Verdana"/>
          <w:i/>
          <w:iCs/>
          <w:lang w:val="bg-BG"/>
        </w:rPr>
      </w:pPr>
      <w:r w:rsidRPr="006545C8">
        <w:rPr>
          <w:rStyle w:val="alcapt2"/>
          <w:rFonts w:ascii="Verdana" w:hAnsi="Verdana" w:cs="Tahoma"/>
          <w:color w:val="000000"/>
          <w:sz w:val="18"/>
          <w:szCs w:val="18"/>
          <w:lang w:val="bg-BG"/>
        </w:rPr>
        <w:t>а</w:t>
      </w:r>
      <w:r w:rsidR="00493E9F">
        <w:rPr>
          <w:rStyle w:val="alcapt2"/>
          <w:rFonts w:ascii="Verdana" w:hAnsi="Verdana" w:cs="Tahoma"/>
          <w:color w:val="000000"/>
          <w:sz w:val="18"/>
          <w:szCs w:val="18"/>
          <w:lang w:val="en-US"/>
        </w:rPr>
        <w:t xml:space="preserve"> </w:t>
      </w:r>
      <w:r w:rsidRPr="006545C8">
        <w:rPr>
          <w:rStyle w:val="alcapt2"/>
          <w:rFonts w:ascii="Verdana" w:hAnsi="Verdana" w:cs="Tahoma"/>
          <w:color w:val="000000"/>
          <w:sz w:val="18"/>
          <w:szCs w:val="18"/>
          <w:lang w:val="bg-BG"/>
        </w:rPr>
        <w:t>)</w:t>
      </w:r>
      <w:r w:rsidR="00493E9F">
        <w:rPr>
          <w:rStyle w:val="alcapt2"/>
          <w:rFonts w:ascii="Verdana" w:hAnsi="Verdana" w:cs="Tahoma"/>
          <w:color w:val="000000"/>
          <w:sz w:val="18"/>
          <w:szCs w:val="18"/>
          <w:lang w:val="en-US"/>
        </w:rPr>
        <w:t xml:space="preserve"> e </w:t>
      </w:r>
      <w:r w:rsidRPr="006545C8">
        <w:rPr>
          <w:rFonts w:ascii="Verdana" w:hAnsi="Verdana" w:cs="Tahoma"/>
          <w:i/>
          <w:color w:val="000000"/>
          <w:sz w:val="18"/>
          <w:szCs w:val="18"/>
          <w:lang w:val="bg-BG"/>
        </w:rPr>
        <w:t xml:space="preserve"> </w:t>
      </w:r>
      <w:r w:rsidR="002C639C" w:rsidRPr="0086686D">
        <w:rPr>
          <w:rFonts w:ascii="Verdana" w:hAnsi="Verdana"/>
          <w:i/>
          <w:iCs/>
          <w:sz w:val="18"/>
          <w:szCs w:val="18"/>
        </w:rPr>
        <w:t>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86686D">
        <w:rPr>
          <w:rFonts w:ascii="Verdana" w:hAnsi="Verdana"/>
          <w:i/>
          <w:iCs/>
          <w:sz w:val="18"/>
          <w:szCs w:val="18"/>
          <w:lang w:val="bg-BG"/>
        </w:rPr>
        <w:t>;</w:t>
      </w:r>
    </w:p>
    <w:p w14:paraId="472623FB" w14:textId="77777777" w:rsidR="00B6248C" w:rsidRPr="00475B8B" w:rsidRDefault="00B6248C" w:rsidP="002C639C">
      <w:pPr>
        <w:pStyle w:val="ListParagraph"/>
        <w:spacing w:before="120" w:after="120"/>
        <w:ind w:firstLine="696"/>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lastRenderedPageBreak/>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lastRenderedPageBreak/>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5F3792"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3C260A0E"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 xml:space="preserve">Участник, който </w:t>
      </w:r>
      <w:r w:rsidR="00B00B9F">
        <w:rPr>
          <w:rStyle w:val="ala51"/>
          <w:rFonts w:ascii="Verdana" w:hAnsi="Verdana"/>
          <w:sz w:val="20"/>
          <w:szCs w:val="20"/>
          <w:lang w:val="en-US"/>
        </w:rPr>
        <w:t>e</w:t>
      </w:r>
      <w:r w:rsidR="00B00B9F" w:rsidRPr="00E96D5E">
        <w:rPr>
          <w:rStyle w:val="ala51"/>
          <w:rFonts w:ascii="Verdana" w:hAnsi="Verdana"/>
          <w:sz w:val="20"/>
          <w:szCs w:val="20"/>
          <w:lang w:val="ru-RU"/>
        </w:rPr>
        <w:t xml:space="preserve"> </w:t>
      </w:r>
      <w:r w:rsidRPr="0020781E">
        <w:rPr>
          <w:rStyle w:val="ala51"/>
          <w:rFonts w:ascii="Verdana" w:hAnsi="Verdana"/>
          <w:sz w:val="20"/>
          <w:szCs w:val="20"/>
          <w:lang w:val="ru-RU"/>
        </w:rPr>
        <w:t>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62648D">
        <w:rPr>
          <w:rFonts w:ascii="Verdana" w:hAnsi="Verdana" w:cs="Tahoma"/>
          <w:sz w:val="20"/>
          <w:szCs w:val="20"/>
          <w:lang w:val="bg-BG"/>
        </w:rPr>
        <w:lastRenderedPageBreak/>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5F3792"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5F3792">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235E295C"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002C639C" w:rsidRPr="002C639C">
        <w:rPr>
          <w:rFonts w:ascii="Verdana" w:hAnsi="Verdana" w:cs="Tahoma"/>
          <w:color w:val="auto"/>
          <w:sz w:val="20"/>
          <w:szCs w:val="20"/>
          <w:lang w:val="bg-BG"/>
        </w:rPr>
        <w:t>или арбитражно 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09A8F836" w:rsidR="005A48DD" w:rsidRPr="00425BA6" w:rsidRDefault="005A48DD" w:rsidP="00082538">
      <w:pPr>
        <w:keepLines/>
        <w:numPr>
          <w:ilvl w:val="1"/>
          <w:numId w:val="11"/>
        </w:numPr>
        <w:spacing w:before="120" w:after="120"/>
        <w:jc w:val="both"/>
        <w:rPr>
          <w:rFonts w:ascii="Verdana" w:hAnsi="Verdana"/>
          <w:b/>
          <w:sz w:val="20"/>
          <w:lang w:val="ru-RU"/>
        </w:rPr>
      </w:pPr>
      <w:r w:rsidRPr="00D45746">
        <w:rPr>
          <w:rFonts w:ascii="Verdana" w:hAnsi="Verdana"/>
          <w:b/>
          <w:sz w:val="20"/>
          <w:szCs w:val="20"/>
          <w:lang w:val="bg-BG"/>
        </w:rPr>
        <w:t>Техниче</w:t>
      </w:r>
      <w:r w:rsidR="0065133A" w:rsidRPr="00D45746">
        <w:rPr>
          <w:rFonts w:ascii="Verdana" w:hAnsi="Verdana"/>
          <w:b/>
          <w:sz w:val="20"/>
          <w:szCs w:val="20"/>
          <w:lang w:val="bg-BG"/>
        </w:rPr>
        <w:t>ски и професионални способности:</w:t>
      </w:r>
      <w:r w:rsidR="00ED2B3C" w:rsidRPr="00D45746">
        <w:rPr>
          <w:rFonts w:ascii="Verdana" w:hAnsi="Verdana"/>
          <w:b/>
          <w:sz w:val="20"/>
          <w:szCs w:val="20"/>
          <w:lang w:val="bg-BG"/>
        </w:rPr>
        <w:t xml:space="preserve"> </w:t>
      </w:r>
    </w:p>
    <w:p w14:paraId="742A992F" w14:textId="77777777" w:rsidR="00425BA6" w:rsidRPr="00D42086" w:rsidRDefault="00425BA6" w:rsidP="00425BA6">
      <w:pPr>
        <w:keepLines/>
        <w:numPr>
          <w:ilvl w:val="2"/>
          <w:numId w:val="11"/>
        </w:numPr>
        <w:spacing w:before="60" w:after="60"/>
        <w:jc w:val="both"/>
        <w:rPr>
          <w:rStyle w:val="alcapt2"/>
          <w:rFonts w:ascii="Verdana" w:hAnsi="Verdana" w:cs="Tahoma"/>
          <w:b/>
          <w:i w:val="0"/>
          <w:iCs w:val="0"/>
          <w:color w:val="000000"/>
          <w:sz w:val="20"/>
          <w:szCs w:val="20"/>
          <w:lang w:val="bg-BG"/>
        </w:rPr>
      </w:pPr>
      <w:r w:rsidRPr="00D42086">
        <w:rPr>
          <w:rStyle w:val="alcapt2"/>
          <w:rFonts w:ascii="Verdana" w:hAnsi="Verdana" w:cs="Tahoma"/>
          <w:b/>
          <w:i w:val="0"/>
          <w:color w:val="000000"/>
          <w:sz w:val="20"/>
          <w:szCs w:val="20"/>
          <w:lang w:val="bg-BG"/>
        </w:rPr>
        <w:t>Изискване:</w:t>
      </w:r>
      <w:r w:rsidRPr="00D42086">
        <w:rPr>
          <w:rStyle w:val="alcapt2"/>
          <w:rFonts w:ascii="Verdana" w:hAnsi="Verdana" w:cs="Tahoma"/>
          <w:b/>
          <w:i w:val="0"/>
          <w:sz w:val="20"/>
          <w:szCs w:val="20"/>
          <w:lang w:val="bg-BG"/>
        </w:rPr>
        <w:t xml:space="preserve"> </w:t>
      </w:r>
    </w:p>
    <w:p w14:paraId="21438E25" w14:textId="77777777" w:rsidR="00425BA6" w:rsidRPr="00D42086" w:rsidRDefault="00425BA6" w:rsidP="00425BA6">
      <w:pPr>
        <w:keepLines/>
        <w:spacing w:before="120" w:after="120"/>
        <w:ind w:left="1560"/>
        <w:jc w:val="both"/>
        <w:rPr>
          <w:rStyle w:val="alcapt2"/>
          <w:rFonts w:ascii="Verdana" w:hAnsi="Verdana" w:cs="Tahoma"/>
          <w:i w:val="0"/>
          <w:iCs w:val="0"/>
          <w:color w:val="000000"/>
          <w:sz w:val="20"/>
          <w:szCs w:val="20"/>
          <w:lang w:val="bg-BG"/>
        </w:rPr>
      </w:pPr>
      <w:r w:rsidRPr="00B157D7">
        <w:rPr>
          <w:rFonts w:ascii="Verdana" w:eastAsia="Bookman Old Style" w:hAnsi="Verdana" w:cs="Bookman Old Style"/>
          <w:color w:val="000000"/>
          <w:sz w:val="20"/>
          <w:szCs w:val="20"/>
          <w:u w:color="000000"/>
          <w:bdr w:val="nil"/>
          <w:lang w:val="ru-RU"/>
        </w:rPr>
        <w:t>Участникът да е изпълнил дейности, идентични или сходни с тези на поръчката, за последните три години, предхождащи датата на подаване на офертата. Под „сходни с предмета на обществената поръчка“</w:t>
      </w:r>
      <w:r>
        <w:rPr>
          <w:rFonts w:ascii="Verdana" w:eastAsia="Bookman Old Style" w:hAnsi="Verdana" w:cs="Bookman Old Style"/>
          <w:color w:val="000000"/>
          <w:sz w:val="20"/>
          <w:szCs w:val="20"/>
          <w:u w:color="000000"/>
          <w:bdr w:val="nil"/>
          <w:lang w:val="ru-RU"/>
        </w:rPr>
        <w:t xml:space="preserve"> </w:t>
      </w:r>
      <w:r w:rsidRPr="00B157D7">
        <w:rPr>
          <w:rFonts w:ascii="Verdana" w:eastAsia="Bookman Old Style" w:hAnsi="Verdana" w:cs="Bookman Old Style"/>
          <w:color w:val="000000"/>
          <w:sz w:val="20"/>
          <w:szCs w:val="20"/>
          <w:u w:color="000000"/>
          <w:bdr w:val="nil"/>
          <w:lang w:val="ru-RU"/>
        </w:rPr>
        <w:t>следва да се разбират дейности по ремонт на съоръжения за пречиствателни станции.</w:t>
      </w:r>
    </w:p>
    <w:p w14:paraId="37B0F4D6" w14:textId="77777777" w:rsidR="00425BA6" w:rsidRPr="00D42086" w:rsidRDefault="00425BA6" w:rsidP="00425BA6">
      <w:pPr>
        <w:spacing w:before="120" w:after="120"/>
        <w:ind w:left="1560" w:hanging="142"/>
        <w:jc w:val="both"/>
        <w:rPr>
          <w:rFonts w:ascii="Verdana" w:hAnsi="Verdana" w:cs="Tahoma"/>
          <w:b/>
          <w:color w:val="000000"/>
          <w:sz w:val="20"/>
          <w:szCs w:val="20"/>
          <w:lang w:val="bg-BG"/>
        </w:rPr>
      </w:pPr>
      <w:r w:rsidRPr="00D42086">
        <w:rPr>
          <w:rFonts w:ascii="Verdana" w:hAnsi="Verdana" w:cs="Tahoma"/>
          <w:b/>
          <w:color w:val="000000"/>
          <w:sz w:val="20"/>
          <w:szCs w:val="20"/>
          <w:lang w:val="bg-BG"/>
        </w:rPr>
        <w:t xml:space="preserve">Доказване: </w:t>
      </w:r>
    </w:p>
    <w:p w14:paraId="1AAD95F4" w14:textId="77777777" w:rsidR="00425BA6" w:rsidRPr="00D42086" w:rsidRDefault="00425BA6" w:rsidP="00425BA6">
      <w:pPr>
        <w:keepLines/>
        <w:spacing w:before="120" w:after="120"/>
        <w:ind w:left="1560"/>
        <w:jc w:val="both"/>
        <w:rPr>
          <w:rFonts w:ascii="Verdana" w:hAnsi="Verdana" w:cs="Tahoma"/>
          <w:color w:val="000000"/>
          <w:sz w:val="20"/>
          <w:szCs w:val="20"/>
          <w:lang w:val="bg-BG"/>
        </w:rPr>
      </w:pPr>
      <w:r w:rsidRPr="00D42086">
        <w:rPr>
          <w:rFonts w:ascii="Verdana" w:eastAsia="Bookman Old Style" w:hAnsi="Verdana" w:cs="Bookman Old Style"/>
          <w:color w:val="000000"/>
          <w:sz w:val="20"/>
          <w:szCs w:val="20"/>
          <w:u w:color="000000"/>
          <w:bdr w:val="nil"/>
          <w:lang w:val="bg-BG"/>
        </w:rPr>
        <w:t>В Част IV: Критерии за подбор, Раздел В: технически и професионални способности, т.1 буква б) от ЕЕДОП, Участникът декларира изпълнените дейности за изискания период, като посочва в списъка описание, стойности, дати и получатели</w:t>
      </w:r>
      <w:r w:rsidRPr="00D42086">
        <w:rPr>
          <w:rFonts w:ascii="Verdana" w:eastAsia="Bookman Old Style" w:hAnsi="Verdana" w:cs="Bookman Old Style"/>
          <w:color w:val="000000"/>
          <w:sz w:val="20"/>
          <w:szCs w:val="20"/>
          <w:u w:color="000000"/>
          <w:bdr w:val="nil"/>
          <w:lang w:val="ru-RU"/>
        </w:rPr>
        <w:t>.</w:t>
      </w:r>
      <w:r w:rsidRPr="00D42086">
        <w:rPr>
          <w:rFonts w:ascii="Verdana" w:hAnsi="Verdana" w:cs="Tahoma"/>
          <w:color w:val="000000"/>
          <w:sz w:val="20"/>
          <w:szCs w:val="20"/>
          <w:lang w:val="bg-BG"/>
        </w:rPr>
        <w:t xml:space="preserve"> </w:t>
      </w:r>
    </w:p>
    <w:p w14:paraId="105E6DD0" w14:textId="77777777" w:rsidR="00425BA6" w:rsidRPr="00D42086" w:rsidRDefault="00425BA6" w:rsidP="00425BA6">
      <w:pPr>
        <w:keepLines/>
        <w:spacing w:before="120" w:after="120"/>
        <w:ind w:left="1560"/>
        <w:jc w:val="both"/>
        <w:rPr>
          <w:rFonts w:ascii="Verdana" w:hAnsi="Verdana" w:cs="Tahoma"/>
          <w:color w:val="000000"/>
          <w:sz w:val="20"/>
          <w:szCs w:val="20"/>
          <w:lang w:val="bg-BG"/>
        </w:rPr>
      </w:pPr>
      <w:r w:rsidRPr="00D42086">
        <w:rPr>
          <w:rFonts w:ascii="Verdana" w:hAnsi="Verdana" w:cs="Tahoma"/>
          <w:color w:val="000000"/>
          <w:sz w:val="20"/>
          <w:szCs w:val="20"/>
          <w:lang w:val="bg-BG"/>
        </w:rPr>
        <w:t>В Част IV: Критерии за подбор, Раздел В: технически и професионални способности, т.1 буква б) от ЕЕДОП, Участникът описва/декларира доказателствата за извършените дейности</w:t>
      </w:r>
      <w:r w:rsidRPr="00D42086">
        <w:rPr>
          <w:rFonts w:ascii="Verdana" w:hAnsi="Verdana" w:cs="Tahoma"/>
          <w:color w:val="000000"/>
          <w:sz w:val="20"/>
          <w:szCs w:val="20"/>
          <w:lang w:val="ru-RU"/>
        </w:rPr>
        <w:t xml:space="preserve"> </w:t>
      </w:r>
      <w:r w:rsidRPr="00D42086">
        <w:rPr>
          <w:rFonts w:ascii="Verdana" w:hAnsi="Verdana" w:cs="Tahoma"/>
          <w:color w:val="000000"/>
          <w:sz w:val="20"/>
          <w:szCs w:val="20"/>
          <w:lang w:val="bg-BG"/>
        </w:rPr>
        <w:t>еднакви или сходни с предмета на обществената поръчка, посочени в списъка, които ще представи на възложителя преди сключване на договора, в случай</w:t>
      </w:r>
      <w:r>
        <w:rPr>
          <w:rFonts w:ascii="Verdana" w:hAnsi="Verdana" w:cs="Tahoma"/>
          <w:color w:val="000000"/>
          <w:sz w:val="20"/>
          <w:szCs w:val="20"/>
          <w:lang w:val="bg-BG"/>
        </w:rPr>
        <w:t>,</w:t>
      </w:r>
      <w:r w:rsidRPr="00D42086">
        <w:rPr>
          <w:rFonts w:ascii="Verdana" w:hAnsi="Verdana" w:cs="Tahoma"/>
          <w:color w:val="000000"/>
          <w:sz w:val="20"/>
          <w:szCs w:val="20"/>
          <w:lang w:val="bg-BG"/>
        </w:rPr>
        <w:t xml:space="preserve"> че бъде избран за изпълнител.</w:t>
      </w:r>
    </w:p>
    <w:p w14:paraId="3246D4EF" w14:textId="77777777" w:rsidR="00425BA6" w:rsidRPr="00D6577F" w:rsidRDefault="00425BA6" w:rsidP="00425BA6">
      <w:pPr>
        <w:keepLines/>
        <w:spacing w:before="120" w:after="120"/>
        <w:ind w:left="2136"/>
        <w:jc w:val="both"/>
        <w:rPr>
          <w:rFonts w:ascii="Verdana" w:hAnsi="Verdana"/>
          <w:b/>
          <w:sz w:val="20"/>
          <w:lang w:val="ru-RU"/>
        </w:rPr>
      </w:pP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lastRenderedPageBreak/>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F3792">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5F3792">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5F3792">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38802609" w:rsidR="00954C56" w:rsidRPr="00976FDE" w:rsidRDefault="00E370DD"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ab/>
      </w:r>
      <w:r w:rsidR="00954C56">
        <w:rPr>
          <w:rStyle w:val="ala33"/>
          <w:rFonts w:ascii="Verdana" w:hAnsi="Verdana" w:cs="Tahoma"/>
          <w:i/>
          <w:color w:val="auto"/>
          <w:sz w:val="20"/>
          <w:szCs w:val="20"/>
          <w:lang w:val="bg-BG"/>
        </w:rPr>
        <w:t>Задължени лица, по смисъла на чл.54, ал.2 от ЗОП са:</w:t>
      </w:r>
      <w:r w:rsidR="00954C56" w:rsidRPr="005F3792">
        <w:rPr>
          <w:lang w:val="ru-RU"/>
        </w:rPr>
        <w:t xml:space="preserve"> </w:t>
      </w:r>
      <w:r w:rsidR="00954C56"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0041723C" w:rsidRPr="0041723C">
        <w:rPr>
          <w:rStyle w:val="ala33"/>
          <w:rFonts w:ascii="Verdana" w:hAnsi="Verdana" w:cs="Tahoma"/>
          <w:i/>
          <w:color w:val="auto"/>
          <w:sz w:val="20"/>
          <w:szCs w:val="20"/>
          <w:lang w:val="bg-BG"/>
        </w:rPr>
        <w:t xml:space="preserve">Лицата по чл.54, ал.2 от ЗОП са подробно посочени в чл.40, ал.1 от ППЗОП. </w:t>
      </w:r>
      <w:r w:rsidR="00954C56" w:rsidRPr="00010591">
        <w:rPr>
          <w:rStyle w:val="ala33"/>
          <w:rFonts w:ascii="Verdana" w:hAnsi="Verdana" w:cs="Tahoma"/>
          <w:i/>
          <w:color w:val="auto"/>
          <w:sz w:val="20"/>
          <w:szCs w:val="20"/>
          <w:lang w:val="bg-BG"/>
        </w:rPr>
        <w:t xml:space="preserve">Когато в състава на </w:t>
      </w:r>
      <w:r w:rsidR="0041723C">
        <w:rPr>
          <w:rStyle w:val="ala33"/>
          <w:rFonts w:ascii="Verdana" w:hAnsi="Verdana" w:cs="Tahoma"/>
          <w:i/>
          <w:color w:val="auto"/>
          <w:sz w:val="20"/>
          <w:szCs w:val="20"/>
          <w:lang w:val="bg-BG"/>
        </w:rPr>
        <w:t>управителните и надзорни</w:t>
      </w:r>
      <w:r w:rsidR="0041723C" w:rsidRPr="00010591">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54C56">
        <w:rPr>
          <w:rStyle w:val="ala33"/>
          <w:rFonts w:ascii="Verdana" w:hAnsi="Verdana" w:cs="Tahoma"/>
          <w:i/>
          <w:color w:val="auto"/>
          <w:sz w:val="20"/>
          <w:szCs w:val="20"/>
          <w:lang w:val="bg-BG"/>
        </w:rPr>
        <w:t xml:space="preserve">.В </w:t>
      </w:r>
      <w:r w:rsidR="00954C56" w:rsidRPr="00010591">
        <w:rPr>
          <w:rStyle w:val="ala33"/>
          <w:rFonts w:ascii="Verdana" w:hAnsi="Verdana" w:cs="Tahoma"/>
          <w:i/>
          <w:color w:val="auto"/>
          <w:sz w:val="20"/>
          <w:szCs w:val="20"/>
          <w:lang w:val="bg-BG"/>
        </w:rPr>
        <w:t xml:space="preserve"> </w:t>
      </w:r>
      <w:r w:rsidR="00954C56">
        <w:rPr>
          <w:rStyle w:val="ala33"/>
          <w:rFonts w:ascii="Verdana" w:hAnsi="Verdana" w:cs="Tahoma"/>
          <w:i/>
          <w:color w:val="auto"/>
          <w:sz w:val="20"/>
          <w:szCs w:val="20"/>
          <w:lang w:val="bg-BG"/>
        </w:rPr>
        <w:t>горните случаи</w:t>
      </w:r>
      <w:r w:rsidR="00954C56"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00954C56" w:rsidRPr="00EA015F">
        <w:rPr>
          <w:rStyle w:val="ala33"/>
          <w:rFonts w:ascii="Verdana" w:hAnsi="Verdana" w:cs="Tahoma"/>
          <w:b/>
          <w:i/>
          <w:color w:val="auto"/>
          <w:sz w:val="20"/>
          <w:szCs w:val="20"/>
          <w:lang w:val="bg-BG"/>
        </w:rPr>
        <w:t>се представлява от физическо лице по пълномощие</w:t>
      </w:r>
      <w:r w:rsidR="00954C56" w:rsidRPr="00010591">
        <w:rPr>
          <w:rStyle w:val="ala33"/>
          <w:rFonts w:ascii="Verdana" w:hAnsi="Verdana" w:cs="Tahoma"/>
          <w:i/>
          <w:color w:val="auto"/>
          <w:sz w:val="20"/>
          <w:szCs w:val="20"/>
          <w:lang w:val="bg-BG"/>
        </w:rPr>
        <w:t xml:space="preserve">, </w:t>
      </w:r>
      <w:r w:rsidR="00954C56"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sidR="00954C56">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59BFE0AB" w:rsidR="0090211D" w:rsidRPr="0090211D" w:rsidRDefault="008D2858" w:rsidP="008D2858">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7262433" w14:textId="61447C85" w:rsidR="00895072" w:rsidRPr="00895072" w:rsidRDefault="008D2858" w:rsidP="00F72239">
      <w:pPr>
        <w:keepLines/>
        <w:numPr>
          <w:ilvl w:val="2"/>
          <w:numId w:val="11"/>
        </w:numPr>
        <w:spacing w:before="120" w:after="120"/>
        <w:ind w:left="2268" w:hanging="992"/>
        <w:jc w:val="both"/>
        <w:rPr>
          <w:rFonts w:ascii="Verdana" w:hAnsi="Verdana" w:cs="Tahoma"/>
          <w:i/>
          <w:sz w:val="20"/>
          <w:szCs w:val="20"/>
          <w:lang w:val="bg-BG"/>
        </w:rPr>
      </w:pPr>
      <w:r w:rsidRPr="008D2858">
        <w:rPr>
          <w:rFonts w:ascii="Verdana" w:hAnsi="Verdana" w:cs="Tahoma"/>
          <w:i/>
          <w:snapToGrid w:val="0"/>
          <w:color w:val="000000"/>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895072"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lastRenderedPageBreak/>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5CEF8EF3" w14:textId="77777777" w:rsidR="00D6577F" w:rsidRDefault="00455367" w:rsidP="000D3D49">
      <w:pPr>
        <w:keepLines/>
        <w:numPr>
          <w:ilvl w:val="1"/>
          <w:numId w:val="11"/>
        </w:numPr>
        <w:spacing w:before="120" w:after="120"/>
        <w:ind w:left="1276"/>
        <w:jc w:val="both"/>
        <w:rPr>
          <w:rFonts w:ascii="Verdana" w:hAnsi="Verdana" w:cs="Tahoma"/>
          <w:sz w:val="20"/>
          <w:szCs w:val="20"/>
          <w:lang w:val="bg-BG"/>
        </w:rPr>
      </w:pPr>
      <w:r w:rsidRPr="000D3D49">
        <w:rPr>
          <w:rFonts w:ascii="Verdana" w:hAnsi="Verdana" w:cs="Tahom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p>
    <w:p w14:paraId="569F260A" w14:textId="77777777" w:rsidR="00346D47" w:rsidRPr="00605FFA" w:rsidRDefault="00346D47" w:rsidP="00346D47">
      <w:pPr>
        <w:keepLines/>
        <w:numPr>
          <w:ilvl w:val="2"/>
          <w:numId w:val="11"/>
        </w:numPr>
        <w:spacing w:before="60" w:after="60"/>
        <w:jc w:val="both"/>
        <w:rPr>
          <w:rFonts w:ascii="Verdana" w:hAnsi="Verdana" w:cs="Arial"/>
          <w:sz w:val="20"/>
          <w:szCs w:val="20"/>
          <w:lang w:val="bg-BG"/>
        </w:rPr>
      </w:pPr>
      <w:r w:rsidRPr="00605FFA">
        <w:rPr>
          <w:rFonts w:ascii="Verdana" w:hAnsi="Verdana" w:cs="Arial"/>
          <w:sz w:val="20"/>
          <w:szCs w:val="20"/>
          <w:lang w:val="bg-BG"/>
        </w:rPr>
        <w:t xml:space="preserve">Попълнена таблица Техническо предложение от раздел А Техническо задание. </w:t>
      </w:r>
    </w:p>
    <w:p w14:paraId="32832287" w14:textId="77777777" w:rsidR="00346D47" w:rsidRPr="008A58D2" w:rsidRDefault="00346D47" w:rsidP="00C0380C">
      <w:pPr>
        <w:keepLines/>
        <w:numPr>
          <w:ilvl w:val="1"/>
          <w:numId w:val="11"/>
        </w:numPr>
        <w:spacing w:before="60" w:after="60"/>
        <w:ind w:left="1276" w:hanging="709"/>
        <w:jc w:val="both"/>
        <w:rPr>
          <w:rStyle w:val="ala62"/>
          <w:rFonts w:ascii="Verdana" w:hAnsi="Verdana"/>
          <w:bCs/>
          <w:sz w:val="20"/>
          <w:szCs w:val="20"/>
          <w:lang w:val="bg-BG"/>
        </w:rPr>
      </w:pPr>
      <w:r w:rsidRPr="008A58D2">
        <w:rPr>
          <w:rStyle w:val="ala62"/>
          <w:rFonts w:ascii="Verdana" w:hAnsi="Verdana"/>
          <w:bCs/>
          <w:sz w:val="20"/>
          <w:szCs w:val="20"/>
          <w:lang w:val="bg-BG"/>
        </w:rPr>
        <w:t>Декларация за извършен оглед на обекта.</w:t>
      </w:r>
    </w:p>
    <w:p w14:paraId="6BD06729" w14:textId="77777777" w:rsidR="00346D47" w:rsidRPr="008A58D2" w:rsidRDefault="00346D47" w:rsidP="00346D47">
      <w:pPr>
        <w:keepLines/>
        <w:spacing w:before="60" w:after="60"/>
        <w:ind w:left="1106"/>
        <w:jc w:val="both"/>
        <w:rPr>
          <w:rStyle w:val="ala62"/>
          <w:rFonts w:ascii="Verdana" w:hAnsi="Verdana"/>
          <w:bCs/>
          <w:sz w:val="20"/>
          <w:szCs w:val="20"/>
          <w:lang w:val="bg-BG"/>
        </w:rPr>
      </w:pPr>
      <w:r w:rsidRPr="008A58D2">
        <w:rPr>
          <w:rStyle w:val="ala62"/>
          <w:rFonts w:ascii="Verdana" w:hAnsi="Verdana"/>
          <w:bCs/>
          <w:sz w:val="20"/>
          <w:szCs w:val="20"/>
          <w:lang w:val="bg-BG"/>
        </w:rPr>
        <w:t xml:space="preserve">Участниците следва да направят задължителен оглед на обекта предмет на обществената поръчка. </w:t>
      </w:r>
    </w:p>
    <w:p w14:paraId="35129318" w14:textId="1AB192C3" w:rsidR="00346D47" w:rsidRPr="008A58D2" w:rsidRDefault="00346D47" w:rsidP="00346D47">
      <w:pPr>
        <w:keepLines/>
        <w:spacing w:before="60" w:after="60"/>
        <w:ind w:left="1106"/>
        <w:jc w:val="both"/>
        <w:rPr>
          <w:rStyle w:val="ala62"/>
          <w:rFonts w:ascii="Verdana" w:hAnsi="Verdana"/>
          <w:bCs/>
          <w:sz w:val="20"/>
          <w:szCs w:val="20"/>
          <w:lang w:val="bg-BG"/>
        </w:rPr>
      </w:pPr>
      <w:r>
        <w:rPr>
          <w:rStyle w:val="ala62"/>
          <w:rFonts w:ascii="Verdana" w:hAnsi="Verdana"/>
          <w:bCs/>
          <w:sz w:val="20"/>
          <w:szCs w:val="20"/>
          <w:lang w:val="bg-BG"/>
        </w:rPr>
        <w:t>Лице за контакт Петър Бонев – тел. 0876 472 432</w:t>
      </w:r>
      <w:r w:rsidRPr="008A58D2">
        <w:rPr>
          <w:rStyle w:val="ala62"/>
          <w:rFonts w:ascii="Verdana" w:hAnsi="Verdana"/>
          <w:bCs/>
          <w:sz w:val="20"/>
          <w:szCs w:val="20"/>
          <w:lang w:val="bg-BG"/>
        </w:rPr>
        <w:t>. Огледите ще се извършват съгласно вътрешните правила за достъп до обекти на възложителя и при спазване на правилата на БЗР.</w:t>
      </w:r>
    </w:p>
    <w:p w14:paraId="4726244E" w14:textId="779075D8" w:rsidR="00815B8B" w:rsidRPr="005B6189" w:rsidRDefault="00AC72EB" w:rsidP="00D6577F">
      <w:pPr>
        <w:keepLines/>
        <w:numPr>
          <w:ilvl w:val="1"/>
          <w:numId w:val="11"/>
        </w:numPr>
        <w:spacing w:before="120" w:after="120"/>
        <w:ind w:left="1276"/>
        <w:jc w:val="both"/>
        <w:rPr>
          <w:rFonts w:ascii="Verdana" w:hAnsi="Verdana" w:cs="Tahoma"/>
          <w:sz w:val="20"/>
          <w:szCs w:val="20"/>
          <w:lang w:val="bg-BG"/>
        </w:rPr>
      </w:pPr>
      <w:r w:rsidRPr="005B6189">
        <w:rPr>
          <w:rStyle w:val="ala62"/>
          <w:rFonts w:ascii="Verdana" w:hAnsi="Verdana" w:cs="Tahoma"/>
          <w:color w:val="000000"/>
          <w:sz w:val="20"/>
          <w:szCs w:val="20"/>
          <w:lang w:val="bg-BG"/>
        </w:rPr>
        <w:t>Опис</w:t>
      </w:r>
      <w:r w:rsidRPr="005B6189">
        <w:rPr>
          <w:rFonts w:ascii="Verdana" w:hAnsi="Verdana"/>
          <w:bCs/>
          <w:sz w:val="20"/>
          <w:szCs w:val="20"/>
          <w:lang w:val="bg-BG"/>
        </w:rPr>
        <w:t xml:space="preserve"> на представените документи в </w:t>
      </w:r>
      <w:r w:rsidR="00D25037" w:rsidRPr="005B6189">
        <w:rPr>
          <w:rFonts w:ascii="Verdana" w:hAnsi="Verdana"/>
          <w:bCs/>
          <w:sz w:val="20"/>
          <w:szCs w:val="20"/>
          <w:lang w:val="bg-BG"/>
        </w:rPr>
        <w:t>о</w:t>
      </w:r>
      <w:r w:rsidRPr="005B6189">
        <w:rPr>
          <w:rFonts w:ascii="Verdana" w:hAnsi="Verdana"/>
          <w:bCs/>
          <w:sz w:val="20"/>
          <w:szCs w:val="20"/>
          <w:lang w:val="bg-BG"/>
        </w:rPr>
        <w:t>фертата  (по образец).</w:t>
      </w:r>
    </w:p>
    <w:p w14:paraId="50AA11D0" w14:textId="721F5486"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t>ОТДЕЛЕН запечатан непрозрачен плик</w:t>
      </w:r>
      <w:r w:rsidR="00346D47">
        <w:rPr>
          <w:rFonts w:ascii="Verdana" w:hAnsi="Verdana" w:cs="Tahoma"/>
          <w:b/>
          <w:color w:val="000000"/>
          <w:sz w:val="20"/>
          <w:szCs w:val="20"/>
          <w:lang w:val="ru-RU"/>
        </w:rPr>
        <w:t xml:space="preserve"> „Предлагани ценови параметри”</w:t>
      </w:r>
      <w:r w:rsidRPr="00B003D2">
        <w:rPr>
          <w:rFonts w:ascii="Verdana" w:hAnsi="Verdana" w:cs="Tahoma"/>
          <w:b/>
          <w:color w:val="000000"/>
          <w:sz w:val="20"/>
          <w:szCs w:val="20"/>
          <w:lang w:val="ru-RU"/>
        </w:rPr>
        <w:t xml:space="preserve">,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6B629AA0" w14:textId="7406C56F" w:rsidR="002A25E6" w:rsidRPr="002A25E6" w:rsidRDefault="002A25E6" w:rsidP="00A51E96">
      <w:pPr>
        <w:keepLines/>
        <w:numPr>
          <w:ilvl w:val="2"/>
          <w:numId w:val="11"/>
        </w:numPr>
        <w:spacing w:before="120" w:after="120"/>
        <w:jc w:val="both"/>
        <w:rPr>
          <w:rFonts w:ascii="Verdana" w:hAnsi="Verdana"/>
          <w:bCs/>
          <w:sz w:val="20"/>
          <w:szCs w:val="20"/>
          <w:lang w:val="bg-BG"/>
        </w:rPr>
      </w:pPr>
      <w:r w:rsidRPr="002A25E6">
        <w:rPr>
          <w:rFonts w:ascii="Verdana" w:hAnsi="Verdana"/>
          <w:bCs/>
          <w:sz w:val="20"/>
          <w:szCs w:val="20"/>
          <w:lang w:val="bg-BG"/>
        </w:rPr>
        <w:t xml:space="preserve">Попълнена </w:t>
      </w:r>
      <w:r w:rsidR="00A51E96" w:rsidRPr="00A51E96">
        <w:rPr>
          <w:rFonts w:ascii="Verdana" w:hAnsi="Verdana"/>
          <w:bCs/>
          <w:sz w:val="20"/>
          <w:szCs w:val="20"/>
          <w:lang w:val="bg-BG"/>
        </w:rPr>
        <w:t xml:space="preserve"> Таблица</w:t>
      </w:r>
      <w:r w:rsidR="00A51E96" w:rsidRPr="0086686D">
        <w:rPr>
          <w:rFonts w:ascii="Verdana" w:hAnsi="Verdana"/>
          <w:bCs/>
          <w:sz w:val="20"/>
          <w:szCs w:val="20"/>
          <w:lang w:val="ru-RU"/>
        </w:rPr>
        <w:t xml:space="preserve"> </w:t>
      </w:r>
      <w:r w:rsidR="00A51E96" w:rsidRPr="00A51E96">
        <w:rPr>
          <w:rFonts w:ascii="Verdana" w:hAnsi="Verdana"/>
          <w:bCs/>
          <w:sz w:val="20"/>
          <w:szCs w:val="20"/>
          <w:lang w:val="bg-BG"/>
        </w:rPr>
        <w:t>„Ценова таблица”</w:t>
      </w:r>
      <w:r w:rsidR="00346D47">
        <w:rPr>
          <w:rFonts w:ascii="Verdana" w:hAnsi="Verdana"/>
          <w:bCs/>
          <w:sz w:val="20"/>
          <w:szCs w:val="20"/>
          <w:lang w:val="bg-BG"/>
        </w:rPr>
        <w:t xml:space="preserve"> </w:t>
      </w:r>
      <w:r w:rsidR="00A51E96" w:rsidRPr="00A51E96">
        <w:rPr>
          <w:rFonts w:ascii="Verdana" w:hAnsi="Verdana"/>
          <w:bCs/>
          <w:sz w:val="20"/>
          <w:szCs w:val="20"/>
          <w:lang w:val="bg-BG"/>
        </w:rPr>
        <w:t>на хартиен и електронен носител (CD във формат EXCEL) от Раздел Б: “Цени и данни”, в която всички празни клетки изискващи цени трябва да бъдат правилно попълнени, съгласно изискванията на документацията за участие</w:t>
      </w:r>
      <w:r w:rsidRPr="002A25E6">
        <w:rPr>
          <w:rFonts w:ascii="Verdana" w:hAnsi="Verdana"/>
          <w:bCs/>
          <w:sz w:val="20"/>
          <w:szCs w:val="20"/>
          <w:lang w:val="bg-BG"/>
        </w:rPr>
        <w:t xml:space="preserve">. </w:t>
      </w:r>
    </w:p>
    <w:p w14:paraId="47262451" w14:textId="5501CFB4" w:rsidR="000867ED" w:rsidRPr="00A51E96" w:rsidRDefault="000867ED" w:rsidP="00702FA9">
      <w:pPr>
        <w:keepLines/>
        <w:numPr>
          <w:ilvl w:val="2"/>
          <w:numId w:val="11"/>
        </w:numPr>
        <w:spacing w:before="120" w:after="120"/>
        <w:ind w:left="1560" w:hanging="708"/>
        <w:jc w:val="both"/>
        <w:rPr>
          <w:rFonts w:ascii="Verdana" w:hAnsi="Verdana"/>
          <w:b/>
          <w:bCs/>
          <w:sz w:val="20"/>
          <w:szCs w:val="20"/>
          <w:lang w:val="bg-BG"/>
        </w:rPr>
      </w:pPr>
      <w:r w:rsidRPr="00A51E96">
        <w:rPr>
          <w:rFonts w:ascii="Verdana" w:hAnsi="Verdana"/>
          <w:bCs/>
          <w:sz w:val="20"/>
          <w:szCs w:val="20"/>
          <w:lang w:val="bg-BG"/>
        </w:rPr>
        <w:t xml:space="preserve">Изисквания към </w:t>
      </w:r>
      <w:r w:rsidR="00346D47">
        <w:rPr>
          <w:rFonts w:ascii="Verdana" w:hAnsi="Verdana"/>
          <w:bCs/>
          <w:sz w:val="20"/>
          <w:szCs w:val="20"/>
          <w:lang w:val="bg-BG"/>
        </w:rPr>
        <w:t>Ценовата</w:t>
      </w:r>
      <w:r w:rsidR="00D93F51" w:rsidRPr="00A51E96">
        <w:rPr>
          <w:rFonts w:ascii="Verdana" w:hAnsi="Verdana"/>
          <w:bCs/>
          <w:sz w:val="20"/>
          <w:szCs w:val="20"/>
          <w:lang w:val="bg-BG"/>
        </w:rPr>
        <w:t xml:space="preserve"> </w:t>
      </w:r>
      <w:r w:rsidR="00346D47">
        <w:rPr>
          <w:rFonts w:ascii="Verdana" w:hAnsi="Verdana"/>
          <w:bCs/>
          <w:sz w:val="20"/>
          <w:szCs w:val="20"/>
          <w:lang w:val="bg-BG"/>
        </w:rPr>
        <w:t>Таблица</w:t>
      </w:r>
      <w:r w:rsidRPr="00A51E96">
        <w:rPr>
          <w:rFonts w:ascii="Verdana" w:hAnsi="Verdana"/>
          <w:bCs/>
          <w:sz w:val="20"/>
          <w:szCs w:val="20"/>
          <w:lang w:val="bg-BG"/>
        </w:rPr>
        <w:t xml:space="preserve"> от Раздел Б: “Цени и данни”:</w:t>
      </w:r>
    </w:p>
    <w:p w14:paraId="47262452" w14:textId="1641A76F" w:rsidR="000867ED" w:rsidRPr="006D0C50" w:rsidRDefault="00155316"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Pr="000867ED">
        <w:rPr>
          <w:rFonts w:ascii="Verdana" w:hAnsi="Verdana"/>
          <w:bCs/>
          <w:sz w:val="20"/>
          <w:szCs w:val="20"/>
          <w:lang w:val="bg-BG"/>
        </w:rPr>
        <w:t xml:space="preserve"> </w:t>
      </w:r>
      <w:r w:rsidR="000867ED" w:rsidRPr="000867ED">
        <w:rPr>
          <w:rFonts w:ascii="Verdana" w:hAnsi="Verdana"/>
          <w:bCs/>
          <w:sz w:val="20"/>
          <w:szCs w:val="20"/>
          <w:lang w:val="bg-BG"/>
        </w:rPr>
        <w:t>от Раздел Б: “Цени и данни”</w:t>
      </w:r>
      <w:r w:rsidR="00B003D2">
        <w:rPr>
          <w:rFonts w:ascii="Verdana" w:hAnsi="Verdana"/>
          <w:bCs/>
          <w:sz w:val="20"/>
          <w:szCs w:val="20"/>
          <w:lang w:val="bg-BG"/>
        </w:rPr>
        <w:t xml:space="preserve"> </w:t>
      </w:r>
      <w:r w:rsidR="000A6802">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5FC98AEC"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420F8">
        <w:rPr>
          <w:rFonts w:ascii="Verdana" w:hAnsi="Verdana"/>
          <w:bCs/>
          <w:sz w:val="20"/>
          <w:szCs w:val="20"/>
          <w:lang w:val="bg-BG"/>
        </w:rPr>
        <w:t>ферирани от Участника в Ценов</w:t>
      </w:r>
      <w:r w:rsidR="001E30FE">
        <w:rPr>
          <w:rFonts w:ascii="Verdana" w:hAnsi="Verdana"/>
          <w:bCs/>
          <w:sz w:val="20"/>
          <w:szCs w:val="20"/>
          <w:lang w:val="bg-BG"/>
        </w:rPr>
        <w:t>ата</w:t>
      </w:r>
      <w:r w:rsidR="000420F8">
        <w:rPr>
          <w:rFonts w:ascii="Verdana" w:hAnsi="Verdana"/>
          <w:bCs/>
          <w:sz w:val="20"/>
          <w:szCs w:val="20"/>
          <w:lang w:val="bg-BG"/>
        </w:rPr>
        <w:t xml:space="preserve"> таблиц</w:t>
      </w:r>
      <w:r w:rsidR="001E30FE">
        <w:rPr>
          <w:rFonts w:ascii="Verdana" w:hAnsi="Verdana"/>
          <w:bCs/>
          <w:sz w:val="20"/>
          <w:szCs w:val="20"/>
          <w:lang w:val="bg-BG"/>
        </w:rPr>
        <w:t>а</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47262454" w14:textId="7944F70E"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610644">
        <w:rPr>
          <w:rFonts w:ascii="Verdana" w:hAnsi="Verdana"/>
          <w:bCs/>
          <w:i/>
          <w:sz w:val="20"/>
          <w:szCs w:val="20"/>
          <w:lang w:val="bg-BG"/>
        </w:rPr>
        <w:t>Участника</w:t>
      </w:r>
      <w:r w:rsidR="00610644" w:rsidRPr="000867ED">
        <w:rPr>
          <w:rFonts w:ascii="Verdana" w:hAnsi="Verdana"/>
          <w:bCs/>
          <w:i/>
          <w:sz w:val="20"/>
          <w:szCs w:val="20"/>
          <w:lang w:val="bg-BG"/>
        </w:rPr>
        <w:t xml:space="preserve"> </w:t>
      </w:r>
      <w:r w:rsidRPr="000867ED">
        <w:rPr>
          <w:rFonts w:ascii="Verdana" w:hAnsi="Verdana"/>
          <w:bCs/>
          <w:i/>
          <w:sz w:val="20"/>
          <w:szCs w:val="20"/>
          <w:lang w:val="bg-BG"/>
        </w:rPr>
        <w:t>по договора.</w:t>
      </w:r>
    </w:p>
    <w:p w14:paraId="47262455" w14:textId="2F9D41D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1E30FE">
        <w:rPr>
          <w:rFonts w:ascii="Verdana" w:hAnsi="Verdana"/>
          <w:bCs/>
          <w:i/>
          <w:sz w:val="20"/>
          <w:szCs w:val="20"/>
          <w:lang w:val="bg-BG"/>
        </w:rPr>
        <w:t>ата</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420F8">
        <w:rPr>
          <w:rFonts w:ascii="Verdana" w:hAnsi="Verdana"/>
          <w:bCs/>
          <w:i/>
          <w:sz w:val="20"/>
          <w:szCs w:val="20"/>
          <w:lang w:val="bg-BG"/>
        </w:rPr>
        <w:t>адена позиция (ред) от таблиц</w:t>
      </w:r>
      <w:r w:rsidR="001E30FE">
        <w:rPr>
          <w:rFonts w:ascii="Verdana" w:hAnsi="Verdana"/>
          <w:bCs/>
          <w:i/>
          <w:sz w:val="20"/>
          <w:szCs w:val="20"/>
          <w:lang w:val="bg-BG"/>
        </w:rPr>
        <w:t>ата</w:t>
      </w:r>
      <w:r w:rsidR="00B003D2">
        <w:rPr>
          <w:rFonts w:ascii="Verdana" w:hAnsi="Verdana"/>
          <w:bCs/>
          <w:i/>
          <w:sz w:val="20"/>
          <w:szCs w:val="20"/>
          <w:lang w:val="bg-BG"/>
        </w:rPr>
        <w:t xml:space="preserve"> </w:t>
      </w:r>
      <w:r w:rsidRPr="000867ED">
        <w:rPr>
          <w:rFonts w:ascii="Verdana" w:hAnsi="Verdana"/>
          <w:bCs/>
          <w:i/>
          <w:sz w:val="20"/>
          <w:szCs w:val="20"/>
          <w:lang w:val="bg-BG"/>
        </w:rPr>
        <w:t xml:space="preserve">, ще се счита, че Участникът </w:t>
      </w:r>
      <w:r w:rsidR="000420F8">
        <w:rPr>
          <w:rFonts w:ascii="Verdana" w:hAnsi="Verdana"/>
          <w:bCs/>
          <w:i/>
          <w:sz w:val="20"/>
          <w:szCs w:val="20"/>
          <w:lang w:val="bg-BG"/>
        </w:rPr>
        <w:t>не е попълнил коректно таблиц</w:t>
      </w:r>
      <w:r w:rsidR="001E30FE">
        <w:rPr>
          <w:rFonts w:ascii="Verdana" w:hAnsi="Verdana"/>
          <w:bCs/>
          <w:i/>
          <w:sz w:val="20"/>
          <w:szCs w:val="20"/>
          <w:lang w:val="bg-BG"/>
        </w:rPr>
        <w:t>ата</w:t>
      </w:r>
      <w:r w:rsidRPr="000867ED">
        <w:rPr>
          <w:rFonts w:ascii="Verdana" w:hAnsi="Verdana"/>
          <w:bCs/>
          <w:i/>
          <w:sz w:val="20"/>
          <w:szCs w:val="20"/>
          <w:lang w:val="bg-BG"/>
        </w:rPr>
        <w:t xml:space="preserve"> и предложението му няма да бъде оценявано.</w:t>
      </w:r>
    </w:p>
    <w:p w14:paraId="47262456" w14:textId="35153366"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w:t>
      </w:r>
      <w:r w:rsidR="000420F8">
        <w:rPr>
          <w:rFonts w:ascii="Verdana" w:hAnsi="Verdana"/>
          <w:i/>
          <w:sz w:val="20"/>
          <w:szCs w:val="20"/>
          <w:lang w:val="bg-BG"/>
        </w:rPr>
        <w:t xml:space="preserve"> </w:t>
      </w:r>
      <w:r w:rsidRPr="000867ED">
        <w:rPr>
          <w:rFonts w:ascii="Verdana" w:hAnsi="Verdana"/>
          <w:i/>
          <w:sz w:val="20"/>
          <w:szCs w:val="20"/>
          <w:lang w:val="bg-BG"/>
        </w:rPr>
        <w:t>ще са постоянни за срока на Договора, освен в</w:t>
      </w:r>
      <w:r w:rsidR="00E23F34">
        <w:rPr>
          <w:rFonts w:ascii="Verdana" w:hAnsi="Verdana"/>
          <w:i/>
          <w:sz w:val="20"/>
          <w:szCs w:val="20"/>
          <w:lang w:val="bg-BG"/>
        </w:rPr>
        <w:t xml:space="preserve"> </w:t>
      </w:r>
      <w:r w:rsidR="00A45393">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ЗОП</w:t>
      </w:r>
      <w:r w:rsidR="00A45393">
        <w:rPr>
          <w:rFonts w:ascii="Verdana" w:hAnsi="Verdana"/>
          <w:i/>
          <w:sz w:val="20"/>
          <w:szCs w:val="20"/>
          <w:lang w:val="bg-BG"/>
        </w:rPr>
        <w:t>, допускащи изменението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lastRenderedPageBreak/>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1DD3DAC4"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2843A6E4" w14:textId="77777777" w:rsidR="00BF071C" w:rsidRPr="000867ED" w:rsidRDefault="00BF071C" w:rsidP="00BF071C">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37C5E14" w14:textId="77777777" w:rsidR="00BF071C" w:rsidRPr="000867ED" w:rsidRDefault="00BF071C" w:rsidP="00BF071C">
      <w:pPr>
        <w:tabs>
          <w:tab w:val="left" w:pos="1260"/>
        </w:tabs>
        <w:spacing w:before="90" w:after="90"/>
        <w:ind w:left="1440"/>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0C776E6C"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lastRenderedPageBreak/>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601BC26B" w14:textId="522A812B" w:rsidR="00BF071C" w:rsidRPr="00BF071C" w:rsidRDefault="00BF071C" w:rsidP="00BF071C">
      <w:pPr>
        <w:suppressAutoHyphens/>
        <w:spacing w:before="120" w:after="120"/>
        <w:ind w:left="879"/>
        <w:jc w:val="both"/>
        <w:rPr>
          <w:rFonts w:ascii="Verdana" w:hAnsi="Verdana" w:cs="Arial"/>
          <w:bCs/>
          <w:sz w:val="20"/>
          <w:szCs w:val="20"/>
          <w:lang w:val="bg-BG"/>
        </w:rPr>
      </w:pPr>
      <w:r w:rsidRPr="00BF071C">
        <w:rPr>
          <w:rFonts w:ascii="Verdana" w:hAnsi="Verdana" w:cs="Arial"/>
          <w:bCs/>
          <w:sz w:val="20"/>
          <w:szCs w:val="20"/>
          <w:lang w:val="bg-BG"/>
        </w:rPr>
        <w:t>В таблица „Ценова таблица“ от раздел Б: „Цени и данни“ от проекта на договора, всеки Участник попълва предлаганата от него единична цена за всяка стока</w:t>
      </w:r>
      <w:r w:rsidR="00560761">
        <w:rPr>
          <w:rFonts w:ascii="Verdana" w:hAnsi="Verdana" w:cs="Arial"/>
          <w:bCs/>
          <w:sz w:val="20"/>
          <w:szCs w:val="20"/>
          <w:lang w:val="bg-BG"/>
        </w:rPr>
        <w:t>/услуга</w:t>
      </w:r>
      <w:r w:rsidRPr="00BF071C">
        <w:rPr>
          <w:rFonts w:ascii="Verdana" w:hAnsi="Verdana" w:cs="Arial"/>
          <w:bCs/>
          <w:sz w:val="20"/>
          <w:szCs w:val="20"/>
          <w:lang w:val="bg-BG"/>
        </w:rPr>
        <w:t xml:space="preserve"> от таблицата. Посочените единични цени се сумират в клетка „Общо”. </w:t>
      </w:r>
    </w:p>
    <w:p w14:paraId="23FE628E" w14:textId="5B1FA6FF" w:rsidR="00BF071C" w:rsidRPr="00BF071C" w:rsidRDefault="00BF071C" w:rsidP="00BF071C">
      <w:pPr>
        <w:spacing w:before="120" w:after="120"/>
        <w:jc w:val="both"/>
        <w:rPr>
          <w:rFonts w:ascii="Verdana" w:hAnsi="Verdana" w:cs="Arial"/>
          <w:sz w:val="20"/>
          <w:szCs w:val="20"/>
          <w:lang w:val="bg-BG"/>
        </w:rPr>
      </w:pPr>
      <w:r w:rsidRPr="00BF071C">
        <w:rPr>
          <w:rFonts w:ascii="Verdana" w:hAnsi="Verdana" w:cs="Arial"/>
          <w:sz w:val="20"/>
          <w:szCs w:val="20"/>
          <w:lang w:val="bg-BG"/>
        </w:rPr>
        <w:t>Методиката на оценката е както следва: Участникът с най-ниско ценово предложение в клетка „Общо</w:t>
      </w:r>
      <w:r w:rsidR="001E30FE">
        <w:rPr>
          <w:rFonts w:ascii="Verdana" w:hAnsi="Verdana" w:cs="Arial"/>
          <w:sz w:val="20"/>
          <w:szCs w:val="20"/>
          <w:lang w:val="bg-BG"/>
        </w:rPr>
        <w:t xml:space="preserve"> предложена цена</w:t>
      </w:r>
      <w:bookmarkStart w:id="16" w:name="_GoBack"/>
      <w:bookmarkEnd w:id="16"/>
      <w:r w:rsidRPr="00BF071C">
        <w:rPr>
          <w:rFonts w:ascii="Verdana" w:hAnsi="Verdana" w:cs="Arial"/>
          <w:sz w:val="20"/>
          <w:szCs w:val="20"/>
          <w:lang w:val="bg-BG"/>
        </w:rPr>
        <w:t>“ получава максималния брой точки 100. Оценката за всеки от останалите допуснати участници се получава, като най-ниското ценово предложение се умножи по 100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224FD2AF"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lastRenderedPageBreak/>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CB4034">
        <w:rPr>
          <w:rFonts w:ascii="Verdana" w:hAnsi="Verdana"/>
          <w:bCs/>
          <w:sz w:val="20"/>
          <w:szCs w:val="20"/>
          <w:lang w:val="bg-BG"/>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1E65BF" w:rsidR="00E90F5E" w:rsidRPr="005F3792" w:rsidRDefault="00E90F5E" w:rsidP="000A6802">
      <w:pPr>
        <w:pStyle w:val="ListParagraph"/>
        <w:numPr>
          <w:ilvl w:val="1"/>
          <w:numId w:val="11"/>
        </w:numPr>
        <w:jc w:val="both"/>
        <w:rPr>
          <w:rFonts w:ascii="Verdana" w:hAnsi="Verdana" w:cs="Tahoma"/>
          <w:color w:val="000000"/>
          <w:sz w:val="20"/>
          <w:szCs w:val="20"/>
          <w:lang w:val="bg-BG"/>
        </w:rPr>
      </w:pPr>
      <w:r w:rsidRPr="005F3792">
        <w:rPr>
          <w:rFonts w:ascii="Verdana" w:hAnsi="Verdana" w:cs="Tahoma"/>
          <w:color w:val="000000"/>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AB6A94" w:rsidRPr="005F3792">
        <w:rPr>
          <w:rFonts w:ascii="Verdana" w:hAnsi="Verdana" w:cs="Tahoma"/>
          <w:color w:val="000000"/>
          <w:sz w:val="20"/>
          <w:szCs w:val="20"/>
          <w:lang w:val="bg-BG"/>
        </w:rPr>
        <w:t>.</w:t>
      </w:r>
    </w:p>
    <w:p w14:paraId="472624E1" w14:textId="5AEC8DAC" w:rsidR="003E21F2"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196D6504" w14:textId="4DC3B58E" w:rsidR="00BF071C" w:rsidRPr="00BF071C" w:rsidRDefault="00BF071C" w:rsidP="00BF071C">
      <w:pPr>
        <w:keepLines/>
        <w:numPr>
          <w:ilvl w:val="1"/>
          <w:numId w:val="11"/>
        </w:numPr>
        <w:spacing w:before="120" w:after="120"/>
        <w:jc w:val="both"/>
        <w:rPr>
          <w:rFonts w:ascii="Verdana" w:hAnsi="Verdana" w:cs="Tahoma"/>
          <w:color w:val="000000"/>
          <w:sz w:val="20"/>
          <w:szCs w:val="20"/>
          <w:lang w:val="bg-BG"/>
        </w:rPr>
      </w:pPr>
      <w:r w:rsidRPr="00BF071C">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14C90B45" w14:textId="77777777" w:rsidR="00BF071C" w:rsidRDefault="00BF071C" w:rsidP="00BF071C">
      <w:pPr>
        <w:pStyle w:val="ListParagraph"/>
        <w:ind w:left="1571"/>
        <w:jc w:val="both"/>
        <w:rPr>
          <w:rFonts w:ascii="Verdana" w:eastAsiaTheme="minorHAnsi" w:hAnsi="Verdana" w:cs="TimesNewRomanPSMT"/>
          <w:sz w:val="20"/>
          <w:szCs w:val="20"/>
          <w:lang w:val="bg-BG"/>
        </w:rPr>
      </w:pPr>
    </w:p>
    <w:p w14:paraId="1145DB60" w14:textId="43B8BA9C" w:rsidR="00BF071C" w:rsidRPr="00017095" w:rsidRDefault="0024407B" w:rsidP="0024407B">
      <w:pPr>
        <w:pStyle w:val="ListParagraph"/>
        <w:numPr>
          <w:ilvl w:val="2"/>
          <w:numId w:val="11"/>
        </w:numPr>
        <w:jc w:val="both"/>
        <w:rPr>
          <w:rFonts w:ascii="Verdana" w:hAnsi="Verdana"/>
          <w:sz w:val="20"/>
          <w:szCs w:val="20"/>
          <w:lang w:val="bg-BG"/>
        </w:rPr>
      </w:pPr>
      <w:r w:rsidRPr="0024407B">
        <w:rPr>
          <w:rFonts w:ascii="Verdana" w:eastAsiaTheme="minorHAnsi" w:hAnsi="Verdana" w:cs="TimesNewRomanPSMT"/>
          <w:sz w:val="20"/>
          <w:szCs w:val="20"/>
          <w:lang w:val="bg-BG"/>
        </w:rPr>
        <w:lastRenderedPageBreak/>
        <w:t>Доказателства (оригинал или заверено от участника копие) за извършените дейности, посочени в списъка на извършените дейности, които са идентични или сходни с предмета на обществената поръчка, деклариран в ЕЕДОП</w:t>
      </w:r>
    </w:p>
    <w:p w14:paraId="472624E2" w14:textId="4FFC57EB"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1EC5B607" w14:textId="09EE9A41" w:rsidR="007475C0" w:rsidRPr="003E21F2" w:rsidRDefault="007475C0" w:rsidP="007475C0">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 xml:space="preserve">Попълнено и </w:t>
      </w:r>
      <w:r w:rsidR="00795FB0">
        <w:rPr>
          <w:rFonts w:ascii="Verdana" w:hAnsi="Verdana" w:cs="Tahoma"/>
          <w:color w:val="000000"/>
          <w:sz w:val="20"/>
          <w:szCs w:val="20"/>
          <w:lang w:val="bg-BG"/>
        </w:rPr>
        <w:t xml:space="preserve">подписано </w:t>
      </w:r>
      <w:r>
        <w:rPr>
          <w:rFonts w:ascii="Verdana" w:hAnsi="Verdana" w:cs="Tahoma"/>
          <w:color w:val="000000"/>
          <w:sz w:val="20"/>
          <w:szCs w:val="20"/>
          <w:lang w:val="bg-BG"/>
        </w:rPr>
        <w:t xml:space="preserve">споразумение </w:t>
      </w:r>
      <w:r w:rsidRPr="007475C0">
        <w:rPr>
          <w:rFonts w:ascii="Verdana" w:hAnsi="Verdana" w:cs="Tahoma"/>
          <w:color w:val="000000"/>
          <w:sz w:val="20"/>
          <w:szCs w:val="20"/>
          <w:lang w:val="bg-BG"/>
        </w:rPr>
        <w:t>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w:t>
      </w:r>
      <w:r>
        <w:rPr>
          <w:rFonts w:ascii="Verdana" w:hAnsi="Verdana" w:cs="Tahoma"/>
          <w:color w:val="000000"/>
          <w:sz w:val="20"/>
          <w:szCs w:val="20"/>
          <w:lang w:val="bg-BG"/>
        </w:rPr>
        <w:t xml:space="preserve">( </w:t>
      </w:r>
      <w:r w:rsidRPr="007475C0">
        <w:rPr>
          <w:rFonts w:ascii="Verdana" w:hAnsi="Verdana" w:cs="Tahoma"/>
          <w:color w:val="000000"/>
          <w:sz w:val="20"/>
          <w:szCs w:val="20"/>
          <w:lang w:val="bg-BG"/>
        </w:rPr>
        <w:t>приложено към документацията за участие</w:t>
      </w:r>
      <w:r>
        <w:rPr>
          <w:rFonts w:ascii="Verdana" w:hAnsi="Verdana" w:cs="Tahoma"/>
          <w:color w:val="000000"/>
          <w:sz w:val="20"/>
          <w:szCs w:val="20"/>
          <w:lang w:val="bg-BG"/>
        </w:rPr>
        <w:t>).</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bookmarkStart w:id="17" w:name="_Ref534250083"/>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7"/>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5"/>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12E5067B" w:rsidR="00815B8B" w:rsidRPr="00815B8B" w:rsidRDefault="00C0380C"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 xml:space="preserve">Извършване на ремонт на 1 бр. лентова филтър преса </w:t>
            </w:r>
            <w:r>
              <w:rPr>
                <w:rFonts w:ascii="Verdana" w:hAnsi="Verdana"/>
                <w:b/>
                <w:sz w:val="20"/>
                <w:szCs w:val="20"/>
                <w:lang w:val="en-US"/>
              </w:rPr>
              <w:t>MASS BP 2500</w:t>
            </w: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2B4B7DDA"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560761">
              <w:rPr>
                <w:rFonts w:ascii="Verdana" w:hAnsi="Verdana"/>
                <w:sz w:val="20"/>
                <w:szCs w:val="20"/>
                <w:lang w:val="bg-BG"/>
              </w:rPr>
              <w:t>921</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53343A"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53343A"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w:t>
            </w:r>
            <w:r w:rsidRPr="00815B8B">
              <w:rPr>
                <w:rFonts w:ascii="Verdana" w:eastAsia="Calibri" w:hAnsi="Verdana"/>
                <w:b/>
                <w:sz w:val="20"/>
                <w:szCs w:val="20"/>
                <w:u w:val="single"/>
                <w:lang w:val="bg-BG" w:eastAsia="bg-BG"/>
              </w:rPr>
              <w:lastRenderedPageBreak/>
              <w:t xml:space="preserve">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53343A"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w:t>
            </w:r>
            <w:r w:rsidRPr="00815B8B">
              <w:rPr>
                <w:rFonts w:ascii="Verdana" w:hAnsi="Verdana"/>
                <w:sz w:val="20"/>
                <w:szCs w:val="20"/>
                <w:lang w:val="bg-BG"/>
              </w:rPr>
              <w:lastRenderedPageBreak/>
              <w:t xml:space="preserve">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53343A"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53343A"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53343A"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w:t>
            </w:r>
            <w:r w:rsidRPr="00815B8B">
              <w:rPr>
                <w:rFonts w:ascii="Verdana" w:hAnsi="Verdana"/>
                <w:b/>
                <w:i/>
                <w:sz w:val="20"/>
                <w:szCs w:val="20"/>
                <w:lang w:val="bg-BG"/>
              </w:rPr>
              <w:lastRenderedPageBreak/>
              <w:t>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53343A"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w:t>
            </w:r>
            <w:r w:rsidRPr="00815B8B">
              <w:rPr>
                <w:rFonts w:ascii="Verdana" w:hAnsi="Verdana"/>
                <w:sz w:val="20"/>
                <w:szCs w:val="20"/>
                <w:lang w:val="bg-BG"/>
              </w:rPr>
              <w:lastRenderedPageBreak/>
              <w:t>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53343A"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 xml:space="preserve">извършил </w:t>
            </w:r>
            <w:r w:rsidRPr="00815B8B">
              <w:rPr>
                <w:rFonts w:ascii="Verdana" w:hAnsi="Verdana"/>
                <w:b/>
                <w:sz w:val="20"/>
                <w:szCs w:val="20"/>
                <w:lang w:val="bg-BG"/>
              </w:rPr>
              <w:lastRenderedPageBreak/>
              <w:t>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w:t>
            </w:r>
            <w:r w:rsidRPr="00815B8B">
              <w:rPr>
                <w:rFonts w:ascii="Verdana" w:hAnsi="Verdana"/>
                <w:sz w:val="20"/>
                <w:szCs w:val="20"/>
                <w:lang w:val="bg-BG"/>
              </w:rPr>
              <w:lastRenderedPageBreak/>
              <w:t xml:space="preserve">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53343A"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r>
            <w:r w:rsidRPr="00815B8B">
              <w:rPr>
                <w:rFonts w:ascii="Verdana" w:hAnsi="Verdana"/>
                <w:sz w:val="20"/>
                <w:szCs w:val="20"/>
                <w:lang w:val="bg-BG"/>
              </w:rPr>
              <w:lastRenderedPageBreak/>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462CB806" w:rsidR="00D07FA5" w:rsidRPr="00D07FA5" w:rsidRDefault="00571888" w:rsidP="00D07FA5">
      <w:pPr>
        <w:rPr>
          <w:rFonts w:ascii="Verdana" w:hAnsi="Verdana"/>
          <w:b/>
          <w:color w:val="0000FF"/>
          <w:sz w:val="20"/>
          <w:szCs w:val="20"/>
          <w:lang w:val="bg-BG"/>
        </w:rPr>
      </w:pPr>
      <w:r w:rsidRPr="00E869EC">
        <w:rPr>
          <w:rFonts w:ascii="Verdana" w:hAnsi="Verdana"/>
          <w:sz w:val="20"/>
          <w:lang w:val="bg-BG"/>
        </w:rPr>
        <w:t>Относно: Процедура за възлагане на обществена поръчка с</w:t>
      </w:r>
      <w:r w:rsidR="00560761">
        <w:rPr>
          <w:rFonts w:ascii="Verdana" w:hAnsi="Verdana"/>
          <w:bCs/>
          <w:sz w:val="20"/>
          <w:lang w:val="bg-BG"/>
        </w:rPr>
        <w:t xml:space="preserve"> номер ТТ001921</w:t>
      </w:r>
      <w:r w:rsidR="00B505DE">
        <w:rPr>
          <w:rFonts w:ascii="Verdana" w:hAnsi="Verdana"/>
          <w:bCs/>
          <w:sz w:val="20"/>
          <w:lang w:val="bg-BG"/>
        </w:rPr>
        <w:t xml:space="preserve"> </w:t>
      </w:r>
      <w:r w:rsidRPr="00E869EC">
        <w:rPr>
          <w:rFonts w:ascii="Verdana" w:hAnsi="Verdana"/>
          <w:bCs/>
          <w:sz w:val="20"/>
          <w:lang w:val="bg-BG"/>
        </w:rPr>
        <w:t xml:space="preserve">и предмет: </w:t>
      </w:r>
      <w:r w:rsidRPr="00E869EC">
        <w:rPr>
          <w:rFonts w:ascii="Verdana" w:hAnsi="Verdana"/>
          <w:b/>
          <w:sz w:val="20"/>
          <w:lang w:val="bg-BG"/>
        </w:rPr>
        <w:t>„</w:t>
      </w:r>
      <w:r w:rsidR="00560761">
        <w:rPr>
          <w:rFonts w:ascii="Verdana" w:hAnsi="Verdana"/>
          <w:b/>
          <w:sz w:val="20"/>
          <w:szCs w:val="20"/>
          <w:lang w:val="bg-BG"/>
        </w:rPr>
        <w:t xml:space="preserve">Извършване на ремонт на 1 бр. лентова филтър преса </w:t>
      </w:r>
      <w:r w:rsidR="00560761">
        <w:rPr>
          <w:rFonts w:ascii="Verdana" w:hAnsi="Verdana"/>
          <w:b/>
          <w:sz w:val="20"/>
          <w:szCs w:val="20"/>
          <w:lang w:val="en-US"/>
        </w:rPr>
        <w:t>MASS BP 2500</w:t>
      </w:r>
      <w:r w:rsidR="00D07FA5" w:rsidRPr="00D07FA5">
        <w:rPr>
          <w:rFonts w:ascii="Verdana" w:hAnsi="Verdana"/>
          <w:b/>
          <w:color w:val="0000FF"/>
          <w:sz w:val="20"/>
          <w:szCs w:val="20"/>
          <w:lang w:val="bg-BG"/>
        </w:rPr>
        <w:t>“</w:t>
      </w:r>
    </w:p>
    <w:p w14:paraId="58F7D118" w14:textId="796DB5D4" w:rsidR="00571888" w:rsidRPr="00E869EC" w:rsidRDefault="00571888" w:rsidP="000C7B3D">
      <w:pPr>
        <w:pStyle w:val="Footer"/>
        <w:tabs>
          <w:tab w:val="right" w:pos="4500"/>
          <w:tab w:val="left" w:pos="8460"/>
        </w:tabs>
        <w:jc w:val="both"/>
        <w:rPr>
          <w:rFonts w:ascii="Verdana" w:hAnsi="Verdana"/>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53343A"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53343A"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53343A"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53343A"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343A"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343A"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F3250F" w:rsidRPr="00CF6A39" w:rsidRDefault="00F3250F"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F3250F" w:rsidRPr="00CF6A39" w:rsidRDefault="00F3250F" w:rsidP="003C76AD"/>
                  </w:txbxContent>
                </v:textbox>
              </v:shape>
            </w:pict>
          </mc:Fallback>
        </mc:AlternateContent>
      </w:r>
    </w:p>
    <w:sectPr w:rsidR="003C76AD" w:rsidRPr="00532A92" w:rsidSect="00E33DA5">
      <w:footerReference w:type="default" r:id="rId16"/>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F3250F" w:rsidRDefault="00F3250F" w:rsidP="00EA0376">
      <w:r>
        <w:separator/>
      </w:r>
    </w:p>
  </w:endnote>
  <w:endnote w:type="continuationSeparator" w:id="0">
    <w:p w14:paraId="66DF85B9" w14:textId="77777777" w:rsidR="00F3250F" w:rsidRDefault="00F3250F" w:rsidP="00EA0376">
      <w:r>
        <w:continuationSeparator/>
      </w:r>
    </w:p>
  </w:endnote>
  <w:endnote w:type="continuationNotice" w:id="1">
    <w:p w14:paraId="060BFDFD" w14:textId="77777777" w:rsidR="00F3250F" w:rsidRDefault="00F32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Monotype Sorts">
    <w:altName w:val="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189E58C2" w:rsidR="00F3250F" w:rsidRPr="006F2D6C" w:rsidRDefault="00F3250F"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D440D" w:rsidRPr="00DD440D">
      <w:rPr>
        <w:rFonts w:ascii="Verdana" w:hAnsi="Verdana"/>
        <w:noProof/>
        <w:sz w:val="20"/>
        <w:lang w:val="ru-RU"/>
      </w:rPr>
      <w:t>10</w:t>
    </w:r>
    <w:r w:rsidRPr="006F2D6C">
      <w:rPr>
        <w:rFonts w:ascii="Verdana" w:hAnsi="Verdana"/>
        <w:sz w:val="20"/>
      </w:rPr>
      <w:fldChar w:fldCharType="end"/>
    </w:r>
  </w:p>
  <w:p w14:paraId="47262ABA" w14:textId="34D01058" w:rsidR="00F3250F" w:rsidRPr="006F2D6C" w:rsidRDefault="00F3250F"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921</w:t>
    </w:r>
    <w:r>
      <w:rPr>
        <w:rFonts w:ascii="Verdana" w:hAnsi="Verdana"/>
        <w:sz w:val="20"/>
        <w:lang w:val="bg-BG"/>
      </w:rPr>
      <w:tab/>
    </w:r>
  </w:p>
  <w:p w14:paraId="47262ABB" w14:textId="77777777" w:rsidR="00F3250F" w:rsidRPr="002E32E0" w:rsidRDefault="00F3250F"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57EB6FBA" w:rsidR="00F3250F" w:rsidRPr="006F2D6C" w:rsidRDefault="00F3250F"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D440D" w:rsidRPr="00DD440D">
      <w:rPr>
        <w:rFonts w:ascii="Verdana" w:hAnsi="Verdana"/>
        <w:noProof/>
        <w:sz w:val="20"/>
        <w:lang w:val="ru-RU"/>
      </w:rPr>
      <w:t>43</w:t>
    </w:r>
    <w:r w:rsidRPr="006F2D6C">
      <w:rPr>
        <w:rFonts w:ascii="Verdana" w:hAnsi="Verdana"/>
        <w:sz w:val="20"/>
      </w:rPr>
      <w:fldChar w:fldCharType="end"/>
    </w:r>
  </w:p>
  <w:p w14:paraId="47262AC3" w14:textId="502404CC" w:rsidR="00F3250F" w:rsidRPr="006F2D6C" w:rsidRDefault="00F3250F" w:rsidP="00747E26">
    <w:pPr>
      <w:pStyle w:val="Footer"/>
      <w:tabs>
        <w:tab w:val="right" w:pos="9000"/>
      </w:tabs>
      <w:rPr>
        <w:rFonts w:ascii="Verdana" w:hAnsi="Verdana"/>
        <w:sz w:val="20"/>
        <w:lang w:val="bg-BG"/>
      </w:rPr>
    </w:pPr>
    <w:r>
      <w:rPr>
        <w:rFonts w:ascii="Verdana" w:hAnsi="Verdana"/>
        <w:sz w:val="20"/>
        <w:lang w:val="bg-BG"/>
      </w:rPr>
      <w:t>ТТ001921</w:t>
    </w:r>
  </w:p>
  <w:p w14:paraId="47262AC4" w14:textId="77777777" w:rsidR="00F3250F" w:rsidRPr="002E32E0" w:rsidRDefault="00F3250F" w:rsidP="00747E26">
    <w:pPr>
      <w:pStyle w:val="Footer"/>
      <w:tabs>
        <w:tab w:val="right" w:pos="9000"/>
      </w:tabs>
      <w:rPr>
        <w:rFonts w:ascii="Verdana" w:hAnsi="Verdana"/>
        <w:sz w:val="20"/>
        <w:lang w:val="bg-BG"/>
      </w:rPr>
    </w:pPr>
  </w:p>
  <w:p w14:paraId="47262AC5" w14:textId="77777777" w:rsidR="00F3250F" w:rsidRPr="00AA5E3B" w:rsidRDefault="00F3250F"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F3250F" w:rsidRPr="005D4D3C" w:rsidRDefault="00F3250F" w:rsidP="000153FC">
    <w:pPr>
      <w:pStyle w:val="Foo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F3250F" w:rsidRDefault="00F3250F" w:rsidP="00EA0376">
      <w:r>
        <w:separator/>
      </w:r>
    </w:p>
  </w:footnote>
  <w:footnote w:type="continuationSeparator" w:id="0">
    <w:p w14:paraId="68E23267" w14:textId="77777777" w:rsidR="00F3250F" w:rsidRDefault="00F3250F" w:rsidP="00EA0376">
      <w:r>
        <w:continuationSeparator/>
      </w:r>
    </w:p>
  </w:footnote>
  <w:footnote w:type="continuationNotice" w:id="1">
    <w:p w14:paraId="52CCA210" w14:textId="77777777" w:rsidR="00F3250F" w:rsidRDefault="00F3250F"/>
  </w:footnote>
  <w:footnote w:id="2">
    <w:p w14:paraId="6DFFA500" w14:textId="77777777" w:rsidR="00F3250F" w:rsidRPr="00046DE4" w:rsidRDefault="00F3250F" w:rsidP="00F56E37">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F3250F" w:rsidRPr="0020781E" w:rsidRDefault="00F3250F"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F3250F" w:rsidRPr="0020781E" w:rsidRDefault="00F3250F"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F3250F" w:rsidRPr="0020781E" w:rsidRDefault="00F3250F"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F3250F" w:rsidRPr="003D0AB5" w:rsidRDefault="00F3250F">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6DC27FF"/>
    <w:multiLevelType w:val="multilevel"/>
    <w:tmpl w:val="5D26FBD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1527233"/>
    <w:multiLevelType w:val="multilevel"/>
    <w:tmpl w:val="FD2AF4A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AA3B3D"/>
    <w:multiLevelType w:val="multilevel"/>
    <w:tmpl w:val="A3661A70"/>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77596E"/>
    <w:multiLevelType w:val="multilevel"/>
    <w:tmpl w:val="466E4094"/>
    <w:numStyleLink w:val="ImportedStyle4"/>
  </w:abstractNum>
  <w:abstractNum w:abstractNumId="15"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6" w15:restartNumberingAfterBreak="0">
    <w:nsid w:val="307779FD"/>
    <w:multiLevelType w:val="multilevel"/>
    <w:tmpl w:val="4AB4723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3241C3B"/>
    <w:multiLevelType w:val="multilevel"/>
    <w:tmpl w:val="6D76B34E"/>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3CE337B"/>
    <w:multiLevelType w:val="multilevel"/>
    <w:tmpl w:val="A9DAAFDE"/>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3EA438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0"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3"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15:restartNumberingAfterBreak="0">
    <w:nsid w:val="40780D96"/>
    <w:multiLevelType w:val="multilevel"/>
    <w:tmpl w:val="427ABB3A"/>
    <w:lvl w:ilvl="0">
      <w:start w:val="1"/>
      <w:numFmt w:val="decimal"/>
      <w:lvlText w:val="%1."/>
      <w:lvlJc w:val="left"/>
      <w:pPr>
        <w:ind w:left="576" w:hanging="576"/>
      </w:pPr>
      <w:rPr>
        <w:rFonts w:hint="default"/>
        <w:b/>
      </w:rPr>
    </w:lvl>
    <w:lvl w:ilvl="1">
      <w:start w:val="1"/>
      <w:numFmt w:val="decimal"/>
      <w:lvlText w:val="%1.%2."/>
      <w:lvlJc w:val="left"/>
      <w:pPr>
        <w:ind w:left="1855"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5"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26"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7" w15:restartNumberingAfterBreak="0">
    <w:nsid w:val="45614C55"/>
    <w:multiLevelType w:val="multilevel"/>
    <w:tmpl w:val="5ED0B808"/>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8" w15:restartNumberingAfterBreak="0">
    <w:nsid w:val="464C058E"/>
    <w:multiLevelType w:val="hybridMultilevel"/>
    <w:tmpl w:val="E552260E"/>
    <w:lvl w:ilvl="0" w:tplc="0F8E38B6">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4533D1"/>
    <w:multiLevelType w:val="multilevel"/>
    <w:tmpl w:val="13B8FEA8"/>
    <w:lvl w:ilvl="0">
      <w:start w:val="1"/>
      <w:numFmt w:val="decimal"/>
      <w:lvlText w:val="%1."/>
      <w:lvlJc w:val="left"/>
      <w:pPr>
        <w:tabs>
          <w:tab w:val="num" w:pos="862"/>
        </w:tabs>
        <w:ind w:left="862"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28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37B35F8"/>
    <w:multiLevelType w:val="multilevel"/>
    <w:tmpl w:val="11403438"/>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448" w:hanging="2160"/>
      </w:pPr>
      <w:rPr>
        <w:rFonts w:hint="default"/>
      </w:rPr>
    </w:lvl>
  </w:abstractNum>
  <w:abstractNum w:abstractNumId="37"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E8404D2"/>
    <w:multiLevelType w:val="multilevel"/>
    <w:tmpl w:val="0CD0CD00"/>
    <w:lvl w:ilvl="0">
      <w:start w:val="3"/>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9" w15:restartNumberingAfterBreak="0">
    <w:nsid w:val="70DB5B7B"/>
    <w:multiLevelType w:val="hybridMultilevel"/>
    <w:tmpl w:val="80DE68A2"/>
    <w:lvl w:ilvl="0" w:tplc="41E0C4C0">
      <w:start w:val="1"/>
      <w:numFmt w:val="decimal"/>
      <w:lvlText w:val="3.%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1"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34"/>
    <w:lvlOverride w:ilvl="0">
      <w:startOverride w:val="1"/>
    </w:lvlOverride>
  </w:num>
  <w:num w:numId="5">
    <w:abstractNumId w:val="25"/>
    <w:lvlOverride w:ilvl="0">
      <w:startOverride w:val="1"/>
    </w:lvlOverride>
  </w:num>
  <w:num w:numId="6">
    <w:abstractNumId w:val="34"/>
  </w:num>
  <w:num w:numId="7">
    <w:abstractNumId w:val="25"/>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24"/>
  </w:num>
  <w:num w:numId="12">
    <w:abstractNumId w:val="22"/>
  </w:num>
  <w:num w:numId="13">
    <w:abstractNumId w:val="44"/>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5"/>
  </w:num>
  <w:num w:numId="16">
    <w:abstractNumId w:val="30"/>
  </w:num>
  <w:num w:numId="17">
    <w:abstractNumId w:val="26"/>
  </w:num>
  <w:num w:numId="18">
    <w:abstractNumId w:val="29"/>
  </w:num>
  <w:num w:numId="19">
    <w:abstractNumId w:val="4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3"/>
  </w:num>
  <w:num w:numId="23">
    <w:abstractNumId w:val="20"/>
  </w:num>
  <w:num w:numId="24">
    <w:abstractNumId w:val="21"/>
  </w:num>
  <w:num w:numId="25">
    <w:abstractNumId w:val="35"/>
  </w:num>
  <w:num w:numId="26">
    <w:abstractNumId w:val="42"/>
  </w:num>
  <w:num w:numId="27">
    <w:abstractNumId w:val="5"/>
  </w:num>
  <w:num w:numId="28">
    <w:abstractNumId w:val="23"/>
  </w:num>
  <w:num w:numId="29">
    <w:abstractNumId w:val="18"/>
  </w:num>
  <w:num w:numId="30">
    <w:abstractNumId w:val="32"/>
  </w:num>
  <w:num w:numId="31">
    <w:abstractNumId w:val="37"/>
  </w:num>
  <w:num w:numId="32">
    <w:abstractNumId w:val="40"/>
  </w:num>
  <w:num w:numId="33">
    <w:abstractNumId w:val="38"/>
  </w:num>
  <w:num w:numId="34">
    <w:abstractNumId w:val="7"/>
  </w:num>
  <w:num w:numId="35">
    <w:abstractNumId w:val="17"/>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33"/>
  </w:num>
  <w:num w:numId="40">
    <w:abstractNumId w:val="28"/>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12"/>
  </w:num>
  <w:num w:numId="44">
    <w:abstractNumId w:val="27"/>
  </w:num>
  <w:num w:numId="45">
    <w:abstractNumId w:val="6"/>
  </w:num>
  <w:num w:numId="46">
    <w:abstractNumId w:val="16"/>
  </w:num>
  <w:num w:numId="47">
    <w:abstractNumId w:val="39"/>
  </w:num>
  <w:num w:numId="48">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45B"/>
    <w:rsid w:val="00001B0A"/>
    <w:rsid w:val="00001D4E"/>
    <w:rsid w:val="00003743"/>
    <w:rsid w:val="000037B2"/>
    <w:rsid w:val="00004384"/>
    <w:rsid w:val="000049C7"/>
    <w:rsid w:val="00005761"/>
    <w:rsid w:val="00006348"/>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B9B"/>
    <w:rsid w:val="00041EF0"/>
    <w:rsid w:val="000420F8"/>
    <w:rsid w:val="00043874"/>
    <w:rsid w:val="00044811"/>
    <w:rsid w:val="00045711"/>
    <w:rsid w:val="000458AF"/>
    <w:rsid w:val="000460CB"/>
    <w:rsid w:val="000462F1"/>
    <w:rsid w:val="00046416"/>
    <w:rsid w:val="00046463"/>
    <w:rsid w:val="00047188"/>
    <w:rsid w:val="000473FA"/>
    <w:rsid w:val="00047E5C"/>
    <w:rsid w:val="000502FA"/>
    <w:rsid w:val="000513BF"/>
    <w:rsid w:val="00051DAA"/>
    <w:rsid w:val="00052360"/>
    <w:rsid w:val="00052388"/>
    <w:rsid w:val="00053724"/>
    <w:rsid w:val="00053749"/>
    <w:rsid w:val="0005417D"/>
    <w:rsid w:val="0005437F"/>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442"/>
    <w:rsid w:val="00073FFC"/>
    <w:rsid w:val="0007479A"/>
    <w:rsid w:val="0007483C"/>
    <w:rsid w:val="00074F43"/>
    <w:rsid w:val="00075740"/>
    <w:rsid w:val="000757B7"/>
    <w:rsid w:val="00075997"/>
    <w:rsid w:val="000767BD"/>
    <w:rsid w:val="000776A3"/>
    <w:rsid w:val="000816ED"/>
    <w:rsid w:val="0008204F"/>
    <w:rsid w:val="000821CF"/>
    <w:rsid w:val="00082538"/>
    <w:rsid w:val="00082E57"/>
    <w:rsid w:val="0008453D"/>
    <w:rsid w:val="00084EEF"/>
    <w:rsid w:val="000859F0"/>
    <w:rsid w:val="000864CF"/>
    <w:rsid w:val="000867ED"/>
    <w:rsid w:val="000868DB"/>
    <w:rsid w:val="00087150"/>
    <w:rsid w:val="0008728D"/>
    <w:rsid w:val="00087D2B"/>
    <w:rsid w:val="00090974"/>
    <w:rsid w:val="00090CD3"/>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C9D"/>
    <w:rsid w:val="000B7E3D"/>
    <w:rsid w:val="000C033E"/>
    <w:rsid w:val="000C0365"/>
    <w:rsid w:val="000C0F3C"/>
    <w:rsid w:val="000C0FF8"/>
    <w:rsid w:val="000C1048"/>
    <w:rsid w:val="000C142F"/>
    <w:rsid w:val="000C26F3"/>
    <w:rsid w:val="000C32BC"/>
    <w:rsid w:val="000C3A5D"/>
    <w:rsid w:val="000C3F75"/>
    <w:rsid w:val="000C409E"/>
    <w:rsid w:val="000C4D68"/>
    <w:rsid w:val="000C5787"/>
    <w:rsid w:val="000C57D7"/>
    <w:rsid w:val="000C5897"/>
    <w:rsid w:val="000C59C9"/>
    <w:rsid w:val="000C5A3B"/>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3D49"/>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4435"/>
    <w:rsid w:val="000F4E4C"/>
    <w:rsid w:val="000F53D8"/>
    <w:rsid w:val="000F5636"/>
    <w:rsid w:val="000F5ED5"/>
    <w:rsid w:val="000F63AE"/>
    <w:rsid w:val="000F7FF2"/>
    <w:rsid w:val="00100DBE"/>
    <w:rsid w:val="001029ED"/>
    <w:rsid w:val="00102B48"/>
    <w:rsid w:val="00102B89"/>
    <w:rsid w:val="00104492"/>
    <w:rsid w:val="00105B31"/>
    <w:rsid w:val="00105BE1"/>
    <w:rsid w:val="0010694F"/>
    <w:rsid w:val="00106A36"/>
    <w:rsid w:val="00107292"/>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5DD"/>
    <w:rsid w:val="0013289D"/>
    <w:rsid w:val="00132B04"/>
    <w:rsid w:val="001330F6"/>
    <w:rsid w:val="00133DD0"/>
    <w:rsid w:val="001343C8"/>
    <w:rsid w:val="00134996"/>
    <w:rsid w:val="00134D5B"/>
    <w:rsid w:val="00136336"/>
    <w:rsid w:val="00136695"/>
    <w:rsid w:val="001372A7"/>
    <w:rsid w:val="00137629"/>
    <w:rsid w:val="001376D0"/>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316"/>
    <w:rsid w:val="00155E34"/>
    <w:rsid w:val="00156517"/>
    <w:rsid w:val="00156962"/>
    <w:rsid w:val="00156A2F"/>
    <w:rsid w:val="00156A90"/>
    <w:rsid w:val="001570EC"/>
    <w:rsid w:val="0015736E"/>
    <w:rsid w:val="00157B42"/>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973"/>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452"/>
    <w:rsid w:val="001E095C"/>
    <w:rsid w:val="001E1205"/>
    <w:rsid w:val="001E2054"/>
    <w:rsid w:val="001E2094"/>
    <w:rsid w:val="001E2110"/>
    <w:rsid w:val="001E24CA"/>
    <w:rsid w:val="001E2F39"/>
    <w:rsid w:val="001E30FE"/>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0DB6"/>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2E0"/>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69C8"/>
    <w:rsid w:val="00227ED3"/>
    <w:rsid w:val="00230246"/>
    <w:rsid w:val="00231402"/>
    <w:rsid w:val="00232F34"/>
    <w:rsid w:val="0023309C"/>
    <w:rsid w:val="00233F6B"/>
    <w:rsid w:val="00236351"/>
    <w:rsid w:val="00236737"/>
    <w:rsid w:val="00236C90"/>
    <w:rsid w:val="00236CE2"/>
    <w:rsid w:val="002378CF"/>
    <w:rsid w:val="00237A5F"/>
    <w:rsid w:val="00237FD1"/>
    <w:rsid w:val="002404DE"/>
    <w:rsid w:val="0024071B"/>
    <w:rsid w:val="002407A2"/>
    <w:rsid w:val="00240E6E"/>
    <w:rsid w:val="0024163A"/>
    <w:rsid w:val="00241D79"/>
    <w:rsid w:val="002428DE"/>
    <w:rsid w:val="00242FA0"/>
    <w:rsid w:val="0024407B"/>
    <w:rsid w:val="002444C2"/>
    <w:rsid w:val="00244B91"/>
    <w:rsid w:val="00244E8A"/>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5E6"/>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25DD"/>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39C"/>
    <w:rsid w:val="002C64FB"/>
    <w:rsid w:val="002C68F3"/>
    <w:rsid w:val="002C6C1B"/>
    <w:rsid w:val="002C6FAE"/>
    <w:rsid w:val="002C6FB2"/>
    <w:rsid w:val="002C7B42"/>
    <w:rsid w:val="002D164A"/>
    <w:rsid w:val="002D16A2"/>
    <w:rsid w:val="002D17E3"/>
    <w:rsid w:val="002D29CF"/>
    <w:rsid w:val="002D2C8F"/>
    <w:rsid w:val="002D2EB8"/>
    <w:rsid w:val="002D3B2E"/>
    <w:rsid w:val="002D46E9"/>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C8F"/>
    <w:rsid w:val="00320D7B"/>
    <w:rsid w:val="00321663"/>
    <w:rsid w:val="0032232F"/>
    <w:rsid w:val="00322A71"/>
    <w:rsid w:val="00322B21"/>
    <w:rsid w:val="00323277"/>
    <w:rsid w:val="003239E0"/>
    <w:rsid w:val="00324532"/>
    <w:rsid w:val="003245E7"/>
    <w:rsid w:val="003247B7"/>
    <w:rsid w:val="00326EB5"/>
    <w:rsid w:val="003274BF"/>
    <w:rsid w:val="00327A1B"/>
    <w:rsid w:val="00330364"/>
    <w:rsid w:val="003311DB"/>
    <w:rsid w:val="003313AF"/>
    <w:rsid w:val="00331571"/>
    <w:rsid w:val="00331A06"/>
    <w:rsid w:val="00331F2D"/>
    <w:rsid w:val="00332571"/>
    <w:rsid w:val="00333023"/>
    <w:rsid w:val="003333CD"/>
    <w:rsid w:val="00334D0B"/>
    <w:rsid w:val="00335951"/>
    <w:rsid w:val="0033595E"/>
    <w:rsid w:val="00335A50"/>
    <w:rsid w:val="00335BDB"/>
    <w:rsid w:val="00336F73"/>
    <w:rsid w:val="003376E8"/>
    <w:rsid w:val="0034053F"/>
    <w:rsid w:val="0034120C"/>
    <w:rsid w:val="00342B15"/>
    <w:rsid w:val="0034337D"/>
    <w:rsid w:val="0034355F"/>
    <w:rsid w:val="00343B0C"/>
    <w:rsid w:val="00343C8D"/>
    <w:rsid w:val="003445A9"/>
    <w:rsid w:val="00344E21"/>
    <w:rsid w:val="00344F26"/>
    <w:rsid w:val="00345F1F"/>
    <w:rsid w:val="0034661D"/>
    <w:rsid w:val="00346D47"/>
    <w:rsid w:val="00347B7E"/>
    <w:rsid w:val="00347D71"/>
    <w:rsid w:val="00351817"/>
    <w:rsid w:val="00351AAE"/>
    <w:rsid w:val="003523F2"/>
    <w:rsid w:val="00352749"/>
    <w:rsid w:val="00352AF2"/>
    <w:rsid w:val="003538C4"/>
    <w:rsid w:val="00353A97"/>
    <w:rsid w:val="00353E6A"/>
    <w:rsid w:val="00353EA6"/>
    <w:rsid w:val="00354D5B"/>
    <w:rsid w:val="003556DD"/>
    <w:rsid w:val="003559C5"/>
    <w:rsid w:val="00356A10"/>
    <w:rsid w:val="003572FD"/>
    <w:rsid w:val="00357475"/>
    <w:rsid w:val="003575E6"/>
    <w:rsid w:val="00357FE0"/>
    <w:rsid w:val="003616B4"/>
    <w:rsid w:val="00361C37"/>
    <w:rsid w:val="00361CFA"/>
    <w:rsid w:val="00362FFB"/>
    <w:rsid w:val="0036511C"/>
    <w:rsid w:val="00365988"/>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091"/>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77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ADB"/>
    <w:rsid w:val="003E6DF9"/>
    <w:rsid w:val="003E724D"/>
    <w:rsid w:val="003F0498"/>
    <w:rsid w:val="003F21BA"/>
    <w:rsid w:val="003F3CFF"/>
    <w:rsid w:val="003F400C"/>
    <w:rsid w:val="003F6130"/>
    <w:rsid w:val="003F641A"/>
    <w:rsid w:val="003F6B44"/>
    <w:rsid w:val="003F6CBB"/>
    <w:rsid w:val="00400AD8"/>
    <w:rsid w:val="00401ABF"/>
    <w:rsid w:val="00402532"/>
    <w:rsid w:val="004028C8"/>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49AA"/>
    <w:rsid w:val="00416A8C"/>
    <w:rsid w:val="00416A9F"/>
    <w:rsid w:val="0041723C"/>
    <w:rsid w:val="00417665"/>
    <w:rsid w:val="0041788C"/>
    <w:rsid w:val="00420A62"/>
    <w:rsid w:val="004211F4"/>
    <w:rsid w:val="004237B7"/>
    <w:rsid w:val="00423FB0"/>
    <w:rsid w:val="00425616"/>
    <w:rsid w:val="004259FE"/>
    <w:rsid w:val="00425BA6"/>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7D0"/>
    <w:rsid w:val="004372CC"/>
    <w:rsid w:val="00437378"/>
    <w:rsid w:val="00441250"/>
    <w:rsid w:val="00442D43"/>
    <w:rsid w:val="00443068"/>
    <w:rsid w:val="004430B6"/>
    <w:rsid w:val="004431B6"/>
    <w:rsid w:val="0044414E"/>
    <w:rsid w:val="00444C5E"/>
    <w:rsid w:val="00444E77"/>
    <w:rsid w:val="004455D1"/>
    <w:rsid w:val="004456E2"/>
    <w:rsid w:val="0044577A"/>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2774"/>
    <w:rsid w:val="004730D3"/>
    <w:rsid w:val="004732D3"/>
    <w:rsid w:val="00473FB5"/>
    <w:rsid w:val="0047534E"/>
    <w:rsid w:val="004761EF"/>
    <w:rsid w:val="004768F3"/>
    <w:rsid w:val="00476A48"/>
    <w:rsid w:val="00476D60"/>
    <w:rsid w:val="00477162"/>
    <w:rsid w:val="00477350"/>
    <w:rsid w:val="00477789"/>
    <w:rsid w:val="00481597"/>
    <w:rsid w:val="00481E3E"/>
    <w:rsid w:val="00482C7C"/>
    <w:rsid w:val="00482E70"/>
    <w:rsid w:val="00483523"/>
    <w:rsid w:val="00483654"/>
    <w:rsid w:val="004836E7"/>
    <w:rsid w:val="004842B7"/>
    <w:rsid w:val="004844C0"/>
    <w:rsid w:val="004845D8"/>
    <w:rsid w:val="00486512"/>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3E9F"/>
    <w:rsid w:val="00494249"/>
    <w:rsid w:val="00494EBB"/>
    <w:rsid w:val="00495480"/>
    <w:rsid w:val="00496619"/>
    <w:rsid w:val="00496A29"/>
    <w:rsid w:val="00496B9B"/>
    <w:rsid w:val="004A0428"/>
    <w:rsid w:val="004A0772"/>
    <w:rsid w:val="004A385F"/>
    <w:rsid w:val="004A3B28"/>
    <w:rsid w:val="004A3E15"/>
    <w:rsid w:val="004A402C"/>
    <w:rsid w:val="004A42D4"/>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E7D3B"/>
    <w:rsid w:val="004F0B1D"/>
    <w:rsid w:val="004F3691"/>
    <w:rsid w:val="004F39A0"/>
    <w:rsid w:val="004F4219"/>
    <w:rsid w:val="004F48B6"/>
    <w:rsid w:val="004F4B19"/>
    <w:rsid w:val="004F5140"/>
    <w:rsid w:val="004F59E9"/>
    <w:rsid w:val="004F5CD9"/>
    <w:rsid w:val="004F5E83"/>
    <w:rsid w:val="004F6830"/>
    <w:rsid w:val="004F7B55"/>
    <w:rsid w:val="00501156"/>
    <w:rsid w:val="00501178"/>
    <w:rsid w:val="0050178C"/>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1F5B"/>
    <w:rsid w:val="005323AF"/>
    <w:rsid w:val="00532634"/>
    <w:rsid w:val="00532661"/>
    <w:rsid w:val="00533433"/>
    <w:rsid w:val="0053343A"/>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39E8"/>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0761"/>
    <w:rsid w:val="0056119F"/>
    <w:rsid w:val="00561C78"/>
    <w:rsid w:val="00562F6E"/>
    <w:rsid w:val="00563303"/>
    <w:rsid w:val="00563720"/>
    <w:rsid w:val="00563A00"/>
    <w:rsid w:val="00564F49"/>
    <w:rsid w:val="005655EB"/>
    <w:rsid w:val="00565610"/>
    <w:rsid w:val="00567422"/>
    <w:rsid w:val="00567B41"/>
    <w:rsid w:val="00570847"/>
    <w:rsid w:val="0057103F"/>
    <w:rsid w:val="00571062"/>
    <w:rsid w:val="005712AC"/>
    <w:rsid w:val="00571426"/>
    <w:rsid w:val="005715FB"/>
    <w:rsid w:val="00571888"/>
    <w:rsid w:val="00571902"/>
    <w:rsid w:val="00572458"/>
    <w:rsid w:val="0057308A"/>
    <w:rsid w:val="00573563"/>
    <w:rsid w:val="00574286"/>
    <w:rsid w:val="00574793"/>
    <w:rsid w:val="00574BB9"/>
    <w:rsid w:val="005750D4"/>
    <w:rsid w:val="00576A55"/>
    <w:rsid w:val="00576C3A"/>
    <w:rsid w:val="0057767D"/>
    <w:rsid w:val="00577B1C"/>
    <w:rsid w:val="00577CA6"/>
    <w:rsid w:val="00577EAE"/>
    <w:rsid w:val="00580C87"/>
    <w:rsid w:val="00581608"/>
    <w:rsid w:val="00581D14"/>
    <w:rsid w:val="005823D7"/>
    <w:rsid w:val="00582653"/>
    <w:rsid w:val="00582AEB"/>
    <w:rsid w:val="00582D30"/>
    <w:rsid w:val="00582F9E"/>
    <w:rsid w:val="005831A3"/>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1D68"/>
    <w:rsid w:val="005A25EE"/>
    <w:rsid w:val="005A2C1B"/>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189"/>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0F6A"/>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12A4"/>
    <w:rsid w:val="005F3673"/>
    <w:rsid w:val="005F3792"/>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64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4F7E"/>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0A08"/>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133A"/>
    <w:rsid w:val="00652D50"/>
    <w:rsid w:val="006543B7"/>
    <w:rsid w:val="00655498"/>
    <w:rsid w:val="00655802"/>
    <w:rsid w:val="00656DBC"/>
    <w:rsid w:val="00657717"/>
    <w:rsid w:val="006609F7"/>
    <w:rsid w:val="00660C81"/>
    <w:rsid w:val="00661C60"/>
    <w:rsid w:val="00662307"/>
    <w:rsid w:val="00662C89"/>
    <w:rsid w:val="00662F2B"/>
    <w:rsid w:val="006630AC"/>
    <w:rsid w:val="00663291"/>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6CC6"/>
    <w:rsid w:val="00687C9C"/>
    <w:rsid w:val="00691501"/>
    <w:rsid w:val="00691D99"/>
    <w:rsid w:val="00691E2D"/>
    <w:rsid w:val="00692677"/>
    <w:rsid w:val="00693546"/>
    <w:rsid w:val="00693569"/>
    <w:rsid w:val="00694BAD"/>
    <w:rsid w:val="00694EBA"/>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426"/>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A98"/>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03E"/>
    <w:rsid w:val="006D37E6"/>
    <w:rsid w:val="006D432D"/>
    <w:rsid w:val="006D498A"/>
    <w:rsid w:val="006D5782"/>
    <w:rsid w:val="006D5CB2"/>
    <w:rsid w:val="006D5CCC"/>
    <w:rsid w:val="006D78CC"/>
    <w:rsid w:val="006D7C51"/>
    <w:rsid w:val="006D7C90"/>
    <w:rsid w:val="006E154A"/>
    <w:rsid w:val="006E2468"/>
    <w:rsid w:val="006E297C"/>
    <w:rsid w:val="006E3320"/>
    <w:rsid w:val="006E35CA"/>
    <w:rsid w:val="006E3642"/>
    <w:rsid w:val="006E3C6D"/>
    <w:rsid w:val="006E45C0"/>
    <w:rsid w:val="006E5685"/>
    <w:rsid w:val="006E5823"/>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101"/>
    <w:rsid w:val="006F636E"/>
    <w:rsid w:val="006F75AC"/>
    <w:rsid w:val="00700524"/>
    <w:rsid w:val="007009A6"/>
    <w:rsid w:val="00700C8E"/>
    <w:rsid w:val="00702494"/>
    <w:rsid w:val="00702770"/>
    <w:rsid w:val="00702E12"/>
    <w:rsid w:val="00702FA9"/>
    <w:rsid w:val="00703F72"/>
    <w:rsid w:val="0070405E"/>
    <w:rsid w:val="00704105"/>
    <w:rsid w:val="00704729"/>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31CE"/>
    <w:rsid w:val="00743A94"/>
    <w:rsid w:val="00743F05"/>
    <w:rsid w:val="007446CA"/>
    <w:rsid w:val="00745340"/>
    <w:rsid w:val="00745B43"/>
    <w:rsid w:val="00746C44"/>
    <w:rsid w:val="007475C0"/>
    <w:rsid w:val="00747E26"/>
    <w:rsid w:val="00750214"/>
    <w:rsid w:val="007509D8"/>
    <w:rsid w:val="007509E0"/>
    <w:rsid w:val="00751041"/>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2C60"/>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5FB0"/>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4A85"/>
    <w:rsid w:val="007E54AB"/>
    <w:rsid w:val="007E556F"/>
    <w:rsid w:val="007E5C8D"/>
    <w:rsid w:val="007E60F8"/>
    <w:rsid w:val="007E64B3"/>
    <w:rsid w:val="007E6EDD"/>
    <w:rsid w:val="007E7D72"/>
    <w:rsid w:val="007F01C6"/>
    <w:rsid w:val="007F0896"/>
    <w:rsid w:val="007F1832"/>
    <w:rsid w:val="007F1BED"/>
    <w:rsid w:val="007F2328"/>
    <w:rsid w:val="007F4259"/>
    <w:rsid w:val="007F44CB"/>
    <w:rsid w:val="007F4587"/>
    <w:rsid w:val="007F5C01"/>
    <w:rsid w:val="007F6AC2"/>
    <w:rsid w:val="007F763D"/>
    <w:rsid w:val="007F79D3"/>
    <w:rsid w:val="00800033"/>
    <w:rsid w:val="008008CE"/>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44E"/>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0BC"/>
    <w:rsid w:val="008466DC"/>
    <w:rsid w:val="0084687D"/>
    <w:rsid w:val="00846CBF"/>
    <w:rsid w:val="00847164"/>
    <w:rsid w:val="00847434"/>
    <w:rsid w:val="00850267"/>
    <w:rsid w:val="008508B9"/>
    <w:rsid w:val="008515BC"/>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686D"/>
    <w:rsid w:val="00866E24"/>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1828"/>
    <w:rsid w:val="0088238D"/>
    <w:rsid w:val="00882744"/>
    <w:rsid w:val="00882988"/>
    <w:rsid w:val="00882F9E"/>
    <w:rsid w:val="008830B3"/>
    <w:rsid w:val="00883AD8"/>
    <w:rsid w:val="00884926"/>
    <w:rsid w:val="00884BF0"/>
    <w:rsid w:val="0088518A"/>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380E"/>
    <w:rsid w:val="00893D18"/>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64B"/>
    <w:rsid w:val="008B20B5"/>
    <w:rsid w:val="008B29BE"/>
    <w:rsid w:val="008B2F87"/>
    <w:rsid w:val="008B3103"/>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432"/>
    <w:rsid w:val="008C79A6"/>
    <w:rsid w:val="008D1165"/>
    <w:rsid w:val="008D128C"/>
    <w:rsid w:val="008D2691"/>
    <w:rsid w:val="008D2858"/>
    <w:rsid w:val="008D2C37"/>
    <w:rsid w:val="008D3419"/>
    <w:rsid w:val="008D3E21"/>
    <w:rsid w:val="008D4084"/>
    <w:rsid w:val="008D48AC"/>
    <w:rsid w:val="008D571D"/>
    <w:rsid w:val="008D57AF"/>
    <w:rsid w:val="008D596C"/>
    <w:rsid w:val="008D5BCF"/>
    <w:rsid w:val="008D5C39"/>
    <w:rsid w:val="008D5EA1"/>
    <w:rsid w:val="008D6061"/>
    <w:rsid w:val="008D6EF5"/>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0EE7"/>
    <w:rsid w:val="008F1E80"/>
    <w:rsid w:val="008F2AB1"/>
    <w:rsid w:val="008F2F8C"/>
    <w:rsid w:val="008F2FAA"/>
    <w:rsid w:val="008F3063"/>
    <w:rsid w:val="008F3321"/>
    <w:rsid w:val="008F33E2"/>
    <w:rsid w:val="008F422B"/>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019"/>
    <w:rsid w:val="009168EF"/>
    <w:rsid w:val="00917CF7"/>
    <w:rsid w:val="00917F74"/>
    <w:rsid w:val="009200A3"/>
    <w:rsid w:val="0092134C"/>
    <w:rsid w:val="00921366"/>
    <w:rsid w:val="009214F7"/>
    <w:rsid w:val="00921CA8"/>
    <w:rsid w:val="00922384"/>
    <w:rsid w:val="009224B3"/>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4DED"/>
    <w:rsid w:val="00945246"/>
    <w:rsid w:val="00945ED8"/>
    <w:rsid w:val="00946070"/>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335"/>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D8E"/>
    <w:rsid w:val="00997F9C"/>
    <w:rsid w:val="009A0073"/>
    <w:rsid w:val="009A01F0"/>
    <w:rsid w:val="009A07FF"/>
    <w:rsid w:val="009A0EB4"/>
    <w:rsid w:val="009A10CF"/>
    <w:rsid w:val="009A14A4"/>
    <w:rsid w:val="009A2191"/>
    <w:rsid w:val="009A229E"/>
    <w:rsid w:val="009A2692"/>
    <w:rsid w:val="009A269B"/>
    <w:rsid w:val="009A29EC"/>
    <w:rsid w:val="009A2B3D"/>
    <w:rsid w:val="009A3656"/>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0940"/>
    <w:rsid w:val="009D0FF6"/>
    <w:rsid w:val="009D2082"/>
    <w:rsid w:val="009D613B"/>
    <w:rsid w:val="009D6939"/>
    <w:rsid w:val="009D7080"/>
    <w:rsid w:val="009E06CD"/>
    <w:rsid w:val="009E0EE0"/>
    <w:rsid w:val="009E0F86"/>
    <w:rsid w:val="009E1ABF"/>
    <w:rsid w:val="009E1DC7"/>
    <w:rsid w:val="009E2468"/>
    <w:rsid w:val="009E2F78"/>
    <w:rsid w:val="009E4077"/>
    <w:rsid w:val="009E4A18"/>
    <w:rsid w:val="009E4DD3"/>
    <w:rsid w:val="009E5308"/>
    <w:rsid w:val="009E561F"/>
    <w:rsid w:val="009E59EA"/>
    <w:rsid w:val="009E5D16"/>
    <w:rsid w:val="009E69F9"/>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C71"/>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CFD"/>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393"/>
    <w:rsid w:val="00A4571B"/>
    <w:rsid w:val="00A45B2A"/>
    <w:rsid w:val="00A45B54"/>
    <w:rsid w:val="00A45BB2"/>
    <w:rsid w:val="00A46040"/>
    <w:rsid w:val="00A463FF"/>
    <w:rsid w:val="00A46711"/>
    <w:rsid w:val="00A46717"/>
    <w:rsid w:val="00A4673B"/>
    <w:rsid w:val="00A46AFB"/>
    <w:rsid w:val="00A474F9"/>
    <w:rsid w:val="00A47963"/>
    <w:rsid w:val="00A50F8D"/>
    <w:rsid w:val="00A51774"/>
    <w:rsid w:val="00A51E96"/>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4D53"/>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4FAE"/>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3"/>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266"/>
    <w:rsid w:val="00AA44D3"/>
    <w:rsid w:val="00AA4632"/>
    <w:rsid w:val="00AA4F4B"/>
    <w:rsid w:val="00AA4FA5"/>
    <w:rsid w:val="00AA5A6F"/>
    <w:rsid w:val="00AA5AFF"/>
    <w:rsid w:val="00AA637C"/>
    <w:rsid w:val="00AA66A0"/>
    <w:rsid w:val="00AA7959"/>
    <w:rsid w:val="00AA79F6"/>
    <w:rsid w:val="00AA7E4E"/>
    <w:rsid w:val="00AA7E7E"/>
    <w:rsid w:val="00AB0085"/>
    <w:rsid w:val="00AB037D"/>
    <w:rsid w:val="00AB1933"/>
    <w:rsid w:val="00AB1E74"/>
    <w:rsid w:val="00AB3832"/>
    <w:rsid w:val="00AB3C9E"/>
    <w:rsid w:val="00AB52DC"/>
    <w:rsid w:val="00AB5779"/>
    <w:rsid w:val="00AB5AF2"/>
    <w:rsid w:val="00AB5C4E"/>
    <w:rsid w:val="00AB69F7"/>
    <w:rsid w:val="00AB6A94"/>
    <w:rsid w:val="00AB6C87"/>
    <w:rsid w:val="00AB7A30"/>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00C2"/>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1D2"/>
    <w:rsid w:val="00AF44D0"/>
    <w:rsid w:val="00AF4BDA"/>
    <w:rsid w:val="00AF5BD1"/>
    <w:rsid w:val="00AF64E5"/>
    <w:rsid w:val="00AF7983"/>
    <w:rsid w:val="00AF79B9"/>
    <w:rsid w:val="00AF7A82"/>
    <w:rsid w:val="00B003D2"/>
    <w:rsid w:val="00B00B37"/>
    <w:rsid w:val="00B00B9F"/>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187C"/>
    <w:rsid w:val="00B1218D"/>
    <w:rsid w:val="00B12733"/>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6DCA"/>
    <w:rsid w:val="00B37CD9"/>
    <w:rsid w:val="00B4005D"/>
    <w:rsid w:val="00B40066"/>
    <w:rsid w:val="00B40089"/>
    <w:rsid w:val="00B41444"/>
    <w:rsid w:val="00B436ED"/>
    <w:rsid w:val="00B43B11"/>
    <w:rsid w:val="00B44CDB"/>
    <w:rsid w:val="00B44CE8"/>
    <w:rsid w:val="00B457A5"/>
    <w:rsid w:val="00B4606D"/>
    <w:rsid w:val="00B470F8"/>
    <w:rsid w:val="00B5035C"/>
    <w:rsid w:val="00B505DE"/>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0FDE"/>
    <w:rsid w:val="00B81291"/>
    <w:rsid w:val="00B817BF"/>
    <w:rsid w:val="00B81832"/>
    <w:rsid w:val="00B81EAF"/>
    <w:rsid w:val="00B81F9F"/>
    <w:rsid w:val="00B8222B"/>
    <w:rsid w:val="00B822CB"/>
    <w:rsid w:val="00B82776"/>
    <w:rsid w:val="00B8464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431"/>
    <w:rsid w:val="00BA2798"/>
    <w:rsid w:val="00BA2EDD"/>
    <w:rsid w:val="00BA326D"/>
    <w:rsid w:val="00BA32E3"/>
    <w:rsid w:val="00BA4438"/>
    <w:rsid w:val="00BA48CE"/>
    <w:rsid w:val="00BA4FA5"/>
    <w:rsid w:val="00BA5120"/>
    <w:rsid w:val="00BA55DC"/>
    <w:rsid w:val="00BA5A9B"/>
    <w:rsid w:val="00BA5CB3"/>
    <w:rsid w:val="00BA6138"/>
    <w:rsid w:val="00BA620D"/>
    <w:rsid w:val="00BA6F43"/>
    <w:rsid w:val="00BA79F9"/>
    <w:rsid w:val="00BB06B5"/>
    <w:rsid w:val="00BB0B72"/>
    <w:rsid w:val="00BB17C4"/>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962"/>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003"/>
    <w:rsid w:val="00BE5476"/>
    <w:rsid w:val="00BE580A"/>
    <w:rsid w:val="00BE64A6"/>
    <w:rsid w:val="00BE6583"/>
    <w:rsid w:val="00BE7CC1"/>
    <w:rsid w:val="00BF071C"/>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80C"/>
    <w:rsid w:val="00C03B65"/>
    <w:rsid w:val="00C04011"/>
    <w:rsid w:val="00C045A6"/>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2D45"/>
    <w:rsid w:val="00C34151"/>
    <w:rsid w:val="00C341C3"/>
    <w:rsid w:val="00C34D2C"/>
    <w:rsid w:val="00C34E12"/>
    <w:rsid w:val="00C35841"/>
    <w:rsid w:val="00C361BF"/>
    <w:rsid w:val="00C36A43"/>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6F8F"/>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189A"/>
    <w:rsid w:val="00CA3B5E"/>
    <w:rsid w:val="00CA3E04"/>
    <w:rsid w:val="00CA42E3"/>
    <w:rsid w:val="00CA46E7"/>
    <w:rsid w:val="00CA5345"/>
    <w:rsid w:val="00CA5BA6"/>
    <w:rsid w:val="00CA7573"/>
    <w:rsid w:val="00CA7882"/>
    <w:rsid w:val="00CA78B1"/>
    <w:rsid w:val="00CA7A64"/>
    <w:rsid w:val="00CB1994"/>
    <w:rsid w:val="00CB1DC9"/>
    <w:rsid w:val="00CB263F"/>
    <w:rsid w:val="00CB32C4"/>
    <w:rsid w:val="00CB403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5E0F"/>
    <w:rsid w:val="00CC624E"/>
    <w:rsid w:val="00CC641E"/>
    <w:rsid w:val="00CC7201"/>
    <w:rsid w:val="00CC753E"/>
    <w:rsid w:val="00CC759C"/>
    <w:rsid w:val="00CC78D4"/>
    <w:rsid w:val="00CD01FF"/>
    <w:rsid w:val="00CD030C"/>
    <w:rsid w:val="00CD08F5"/>
    <w:rsid w:val="00CD0E3E"/>
    <w:rsid w:val="00CD1A1F"/>
    <w:rsid w:val="00CD1F6B"/>
    <w:rsid w:val="00CD2001"/>
    <w:rsid w:val="00CD2249"/>
    <w:rsid w:val="00CD2935"/>
    <w:rsid w:val="00CD29B6"/>
    <w:rsid w:val="00CD31AA"/>
    <w:rsid w:val="00CD324A"/>
    <w:rsid w:val="00CD5352"/>
    <w:rsid w:val="00CD53E9"/>
    <w:rsid w:val="00CD53ED"/>
    <w:rsid w:val="00CD56EC"/>
    <w:rsid w:val="00CD63CD"/>
    <w:rsid w:val="00CD7147"/>
    <w:rsid w:val="00CD762D"/>
    <w:rsid w:val="00CD775A"/>
    <w:rsid w:val="00CD7A90"/>
    <w:rsid w:val="00CE09D6"/>
    <w:rsid w:val="00CE0FBA"/>
    <w:rsid w:val="00CE16A0"/>
    <w:rsid w:val="00CE189B"/>
    <w:rsid w:val="00CE1A43"/>
    <w:rsid w:val="00CE1E02"/>
    <w:rsid w:val="00CE1ED3"/>
    <w:rsid w:val="00CE2EAB"/>
    <w:rsid w:val="00CE2EC4"/>
    <w:rsid w:val="00CE3FED"/>
    <w:rsid w:val="00CE457E"/>
    <w:rsid w:val="00CE4C65"/>
    <w:rsid w:val="00CE4F33"/>
    <w:rsid w:val="00CE5456"/>
    <w:rsid w:val="00CE5969"/>
    <w:rsid w:val="00CE5B66"/>
    <w:rsid w:val="00CE6A40"/>
    <w:rsid w:val="00CE6EC8"/>
    <w:rsid w:val="00CE79BF"/>
    <w:rsid w:val="00CE7EBB"/>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87E"/>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45746"/>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77F"/>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3B3"/>
    <w:rsid w:val="00DA7ECE"/>
    <w:rsid w:val="00DB0EA2"/>
    <w:rsid w:val="00DB100B"/>
    <w:rsid w:val="00DB1166"/>
    <w:rsid w:val="00DB1C68"/>
    <w:rsid w:val="00DB242A"/>
    <w:rsid w:val="00DB2474"/>
    <w:rsid w:val="00DB264C"/>
    <w:rsid w:val="00DB26A1"/>
    <w:rsid w:val="00DB4137"/>
    <w:rsid w:val="00DB44D2"/>
    <w:rsid w:val="00DB49D9"/>
    <w:rsid w:val="00DB4D86"/>
    <w:rsid w:val="00DB54AC"/>
    <w:rsid w:val="00DB5AEC"/>
    <w:rsid w:val="00DB6381"/>
    <w:rsid w:val="00DB63DB"/>
    <w:rsid w:val="00DB6FF9"/>
    <w:rsid w:val="00DB7033"/>
    <w:rsid w:val="00DB78B8"/>
    <w:rsid w:val="00DB791A"/>
    <w:rsid w:val="00DB7A72"/>
    <w:rsid w:val="00DC049A"/>
    <w:rsid w:val="00DC0585"/>
    <w:rsid w:val="00DC14E0"/>
    <w:rsid w:val="00DC2255"/>
    <w:rsid w:val="00DC22B7"/>
    <w:rsid w:val="00DC2468"/>
    <w:rsid w:val="00DC3BAC"/>
    <w:rsid w:val="00DC4599"/>
    <w:rsid w:val="00DC4742"/>
    <w:rsid w:val="00DC51C8"/>
    <w:rsid w:val="00DC597B"/>
    <w:rsid w:val="00DC6E83"/>
    <w:rsid w:val="00DC7FCE"/>
    <w:rsid w:val="00DD099F"/>
    <w:rsid w:val="00DD440D"/>
    <w:rsid w:val="00DD45E7"/>
    <w:rsid w:val="00DD6B77"/>
    <w:rsid w:val="00DD7322"/>
    <w:rsid w:val="00DD7C4E"/>
    <w:rsid w:val="00DE0B9C"/>
    <w:rsid w:val="00DE11AB"/>
    <w:rsid w:val="00DE1A4F"/>
    <w:rsid w:val="00DE1E94"/>
    <w:rsid w:val="00DE2557"/>
    <w:rsid w:val="00DE2DD6"/>
    <w:rsid w:val="00DE4A08"/>
    <w:rsid w:val="00DE4E29"/>
    <w:rsid w:val="00DE511B"/>
    <w:rsid w:val="00DE577B"/>
    <w:rsid w:val="00DE57AC"/>
    <w:rsid w:val="00DE58FB"/>
    <w:rsid w:val="00DE66D7"/>
    <w:rsid w:val="00DE69EE"/>
    <w:rsid w:val="00DE6B7A"/>
    <w:rsid w:val="00DE7113"/>
    <w:rsid w:val="00DE7B27"/>
    <w:rsid w:val="00DE7FE3"/>
    <w:rsid w:val="00DF13BE"/>
    <w:rsid w:val="00DF2001"/>
    <w:rsid w:val="00DF2AEA"/>
    <w:rsid w:val="00DF2FE2"/>
    <w:rsid w:val="00DF3943"/>
    <w:rsid w:val="00DF3B5E"/>
    <w:rsid w:val="00DF3E93"/>
    <w:rsid w:val="00DF4274"/>
    <w:rsid w:val="00DF42ED"/>
    <w:rsid w:val="00DF4523"/>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22BD"/>
    <w:rsid w:val="00E0350C"/>
    <w:rsid w:val="00E04CCF"/>
    <w:rsid w:val="00E04D00"/>
    <w:rsid w:val="00E04D17"/>
    <w:rsid w:val="00E04D69"/>
    <w:rsid w:val="00E0671D"/>
    <w:rsid w:val="00E06CF9"/>
    <w:rsid w:val="00E07DE1"/>
    <w:rsid w:val="00E112B5"/>
    <w:rsid w:val="00E118CD"/>
    <w:rsid w:val="00E11F9E"/>
    <w:rsid w:val="00E132BE"/>
    <w:rsid w:val="00E13957"/>
    <w:rsid w:val="00E13DFE"/>
    <w:rsid w:val="00E14E9B"/>
    <w:rsid w:val="00E14F88"/>
    <w:rsid w:val="00E15344"/>
    <w:rsid w:val="00E15E29"/>
    <w:rsid w:val="00E15F16"/>
    <w:rsid w:val="00E1727F"/>
    <w:rsid w:val="00E173C2"/>
    <w:rsid w:val="00E1755B"/>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370DD"/>
    <w:rsid w:val="00E40491"/>
    <w:rsid w:val="00E4049D"/>
    <w:rsid w:val="00E41113"/>
    <w:rsid w:val="00E41391"/>
    <w:rsid w:val="00E41669"/>
    <w:rsid w:val="00E420BB"/>
    <w:rsid w:val="00E428C0"/>
    <w:rsid w:val="00E42ECA"/>
    <w:rsid w:val="00E42F28"/>
    <w:rsid w:val="00E43414"/>
    <w:rsid w:val="00E44D12"/>
    <w:rsid w:val="00E4517F"/>
    <w:rsid w:val="00E471A1"/>
    <w:rsid w:val="00E474CD"/>
    <w:rsid w:val="00E47B91"/>
    <w:rsid w:val="00E47F44"/>
    <w:rsid w:val="00E500E7"/>
    <w:rsid w:val="00E504F5"/>
    <w:rsid w:val="00E509F9"/>
    <w:rsid w:val="00E5364C"/>
    <w:rsid w:val="00E5433A"/>
    <w:rsid w:val="00E54495"/>
    <w:rsid w:val="00E564F9"/>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6D5E"/>
    <w:rsid w:val="00E9747D"/>
    <w:rsid w:val="00E977BA"/>
    <w:rsid w:val="00E97EC3"/>
    <w:rsid w:val="00EA0376"/>
    <w:rsid w:val="00EA0F31"/>
    <w:rsid w:val="00EA1601"/>
    <w:rsid w:val="00EA1D48"/>
    <w:rsid w:val="00EA27B9"/>
    <w:rsid w:val="00EA2CFC"/>
    <w:rsid w:val="00EA300B"/>
    <w:rsid w:val="00EA4F42"/>
    <w:rsid w:val="00EA51EB"/>
    <w:rsid w:val="00EA645C"/>
    <w:rsid w:val="00EA6796"/>
    <w:rsid w:val="00EA6B49"/>
    <w:rsid w:val="00EA6D82"/>
    <w:rsid w:val="00EA7CC5"/>
    <w:rsid w:val="00EB08A9"/>
    <w:rsid w:val="00EB099E"/>
    <w:rsid w:val="00EB1BCE"/>
    <w:rsid w:val="00EB2179"/>
    <w:rsid w:val="00EB26F1"/>
    <w:rsid w:val="00EB3A2A"/>
    <w:rsid w:val="00EB3DC9"/>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26E1"/>
    <w:rsid w:val="00EC31C5"/>
    <w:rsid w:val="00EC4AA9"/>
    <w:rsid w:val="00EC4B7F"/>
    <w:rsid w:val="00EC5436"/>
    <w:rsid w:val="00EC61B4"/>
    <w:rsid w:val="00EC708E"/>
    <w:rsid w:val="00EC755F"/>
    <w:rsid w:val="00EC774C"/>
    <w:rsid w:val="00EC7BA7"/>
    <w:rsid w:val="00ED0185"/>
    <w:rsid w:val="00ED0232"/>
    <w:rsid w:val="00ED1FD9"/>
    <w:rsid w:val="00ED2B3C"/>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4B"/>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50F"/>
    <w:rsid w:val="00F327A6"/>
    <w:rsid w:val="00F33489"/>
    <w:rsid w:val="00F34550"/>
    <w:rsid w:val="00F3455A"/>
    <w:rsid w:val="00F34D0B"/>
    <w:rsid w:val="00F34D23"/>
    <w:rsid w:val="00F359A9"/>
    <w:rsid w:val="00F359C5"/>
    <w:rsid w:val="00F359EF"/>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3DF0"/>
    <w:rsid w:val="00F44719"/>
    <w:rsid w:val="00F44AAC"/>
    <w:rsid w:val="00F44DEF"/>
    <w:rsid w:val="00F45055"/>
    <w:rsid w:val="00F45B63"/>
    <w:rsid w:val="00F45CA7"/>
    <w:rsid w:val="00F464EE"/>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6E37"/>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8B2"/>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0FB6"/>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917"/>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5305"/>
    <w:rsid w:val="00FF6135"/>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726237F"/>
  <w15:docId w15:val="{BB46A3AB-9E8C-4148-B7FD-26ED42D6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003"/>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1"/>
      </w:numPr>
    </w:pPr>
  </w:style>
  <w:style w:type="numbering" w:customStyle="1" w:styleId="ImportedStyle5">
    <w:name w:val="Imported Style 5"/>
    <w:rsid w:val="007B0D3F"/>
    <w:pPr>
      <w:numPr>
        <w:numId w:val="22"/>
      </w:numPr>
    </w:pPr>
  </w:style>
  <w:style w:type="numbering" w:customStyle="1" w:styleId="ImportedStyle9">
    <w:name w:val="Imported Style 9"/>
    <w:rsid w:val="007B0D3F"/>
    <w:pPr>
      <w:numPr>
        <w:numId w:val="23"/>
      </w:numPr>
    </w:pPr>
  </w:style>
  <w:style w:type="numbering" w:customStyle="1" w:styleId="ImportedStyle10">
    <w:name w:val="Imported Style 10"/>
    <w:rsid w:val="007B0D3F"/>
    <w:pPr>
      <w:numPr>
        <w:numId w:val="24"/>
      </w:numPr>
    </w:pPr>
  </w:style>
  <w:style w:type="numbering" w:customStyle="1" w:styleId="ImportedStyle100">
    <w:name w:val="Imported Style 1.0"/>
    <w:rsid w:val="007B0D3F"/>
    <w:pPr>
      <w:numPr>
        <w:numId w:val="25"/>
      </w:numPr>
    </w:pPr>
  </w:style>
  <w:style w:type="numbering" w:customStyle="1" w:styleId="ImportedStyle8">
    <w:name w:val="Imported Style 8"/>
    <w:rsid w:val="007B0D3F"/>
    <w:pPr>
      <w:numPr>
        <w:numId w:val="26"/>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EBE1AF21-F233-4C0A-BCF0-2E3EE7F96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11581</Words>
  <Characters>66017</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77444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4</cp:revision>
  <cp:lastPrinted>2019-11-05T08:29:00Z</cp:lastPrinted>
  <dcterms:created xsi:type="dcterms:W3CDTF">2020-03-19T07:38:00Z</dcterms:created>
  <dcterms:modified xsi:type="dcterms:W3CDTF">2020-03-19T12:28:00Z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