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B7" w:rsidRPr="007159B7" w:rsidRDefault="00864F6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864F6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2127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12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.0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8</w:t>
      </w:r>
      <w:r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</w:t>
      </w:r>
      <w:r w:rsidR="007159B7" w:rsidRPr="005369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437A6A" w:rsidRDefault="00C666A5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126C60" w:rsidRPr="00D753FA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437A6A">
        <w:rPr>
          <w:rFonts w:ascii="Verdana" w:hAnsi="Verdana" w:cs="Arial"/>
          <w:b/>
          <w:bCs/>
          <w:sz w:val="16"/>
          <w:szCs w:val="16"/>
        </w:rPr>
        <w:t>1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CC5A2A" w:rsidRPr="00526A6B" w:rsidRDefault="009F4487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 xml:space="preserve"> по процедура с номер </w:t>
      </w:r>
      <w:r w:rsidR="00126C60" w:rsidRPr="00526A6B">
        <w:rPr>
          <w:rFonts w:ascii="Verdana" w:hAnsi="Verdana" w:cs="Arial"/>
          <w:b/>
          <w:sz w:val="18"/>
          <w:szCs w:val="18"/>
        </w:rPr>
        <w:t>ТТ001</w:t>
      </w:r>
      <w:r w:rsidR="00615C35" w:rsidRPr="00526A6B">
        <w:rPr>
          <w:rFonts w:ascii="Verdana" w:hAnsi="Verdana" w:cs="Arial"/>
          <w:b/>
          <w:sz w:val="18"/>
          <w:szCs w:val="18"/>
          <w:lang w:val="en-US"/>
        </w:rPr>
        <w:t>770</w:t>
      </w:r>
      <w:r w:rsidR="00126C60" w:rsidRPr="00526A6B">
        <w:rPr>
          <w:rFonts w:ascii="Verdana" w:hAnsi="Verdana" w:cs="Arial"/>
          <w:sz w:val="18"/>
          <w:szCs w:val="18"/>
        </w:rPr>
        <w:t xml:space="preserve"> и предмет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 xml:space="preserve">„Доставка, монтаж, настройка и въвеждане в експлоатация на </w:t>
      </w:r>
      <w:proofErr w:type="spellStart"/>
      <w:r w:rsidR="00CC5A2A"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="00CC5A2A" w:rsidRPr="00526A6B">
        <w:rPr>
          <w:rFonts w:ascii="Verdana" w:hAnsi="Verdana"/>
          <w:b/>
          <w:bCs/>
          <w:sz w:val="18"/>
          <w:szCs w:val="18"/>
        </w:rPr>
        <w:t xml:space="preserve"> контролно измервателни прибори за измерване на качествени показатели за питейна и отпадна вода на обекти на Софийска вода АД</w:t>
      </w:r>
      <w:r w:rsidR="00404D7B">
        <w:rPr>
          <w:rFonts w:ascii="Verdana" w:hAnsi="Verdana"/>
          <w:b/>
          <w:bCs/>
          <w:sz w:val="18"/>
          <w:szCs w:val="18"/>
        </w:rPr>
        <w:t>“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CC5A2A" w:rsidRPr="00526A6B">
        <w:rPr>
          <w:rFonts w:ascii="Verdana" w:hAnsi="Verdana"/>
          <w:b/>
          <w:bCs/>
          <w:sz w:val="18"/>
          <w:szCs w:val="18"/>
        </w:rPr>
        <w:t>разделен</w:t>
      </w:r>
      <w:r w:rsidR="00615C35" w:rsidRPr="00526A6B">
        <w:rPr>
          <w:rFonts w:ascii="Verdana" w:hAnsi="Verdana"/>
          <w:b/>
          <w:bCs/>
          <w:sz w:val="18"/>
          <w:szCs w:val="18"/>
          <w:lang w:val="en-US"/>
        </w:rPr>
        <w:t>a</w:t>
      </w:r>
      <w:r w:rsidR="00CC5A2A" w:rsidRPr="00526A6B">
        <w:rPr>
          <w:rFonts w:ascii="Verdana" w:hAnsi="Verdana"/>
          <w:b/>
          <w:bCs/>
          <w:sz w:val="18"/>
          <w:szCs w:val="18"/>
        </w:rPr>
        <w:t xml:space="preserve"> на следните обособени позиции: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1 – Доставка, монтаж,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за питейна вода чрез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проточна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система, при наличие на ел.захранване - 230V AC, 50Hz.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2 – Доставка, монтаж, настройка и въвеждане в експлоатация на 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за питейна вода чрез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проточна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система, с възможност за работа с автономно ел.захранване - 12-36V DC.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3 – Доставка,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на сурова вода при речни водоизточници чрез потопен монтаж с възможност за работа с автономно ел.захранване - 12-36V DC.</w:t>
      </w:r>
    </w:p>
    <w:p w:rsidR="00CC5A2A" w:rsidRPr="00526A6B" w:rsidRDefault="00CC5A2A" w:rsidP="00CC5A2A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 Обособена позиция 4 - Доставка,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мултипараметрична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сонда за измерване на качествени показатели на сурова вода при водоизточник – язовир чрез потопен монтаж и наличие на ел.захранване - 230V AC</w:t>
      </w:r>
    </w:p>
    <w:p w:rsidR="00404D7B" w:rsidRDefault="00CC5A2A" w:rsidP="005D2605">
      <w:pPr>
        <w:jc w:val="both"/>
        <w:rPr>
          <w:rFonts w:ascii="Verdana" w:hAnsi="Verdana"/>
          <w:b/>
          <w:bCs/>
          <w:sz w:val="18"/>
          <w:szCs w:val="18"/>
        </w:rPr>
      </w:pPr>
      <w:r w:rsidRPr="00526A6B">
        <w:rPr>
          <w:rFonts w:ascii="Verdana" w:hAnsi="Verdana"/>
          <w:b/>
          <w:bCs/>
          <w:sz w:val="18"/>
          <w:szCs w:val="18"/>
        </w:rPr>
        <w:t xml:space="preserve">Обособена позиция 5 -Доставка, монтаж, настройка и въвеждане в експлоатация на </w:t>
      </w:r>
      <w:proofErr w:type="spellStart"/>
      <w:r w:rsidRPr="00526A6B">
        <w:rPr>
          <w:rFonts w:ascii="Verdana" w:hAnsi="Verdana"/>
          <w:b/>
          <w:bCs/>
          <w:sz w:val="18"/>
          <w:szCs w:val="18"/>
        </w:rPr>
        <w:t>процесни</w:t>
      </w:r>
      <w:proofErr w:type="spellEnd"/>
      <w:r w:rsidRPr="00526A6B">
        <w:rPr>
          <w:rFonts w:ascii="Verdana" w:hAnsi="Verdana"/>
          <w:b/>
          <w:bCs/>
          <w:sz w:val="18"/>
          <w:szCs w:val="18"/>
        </w:rPr>
        <w:t xml:space="preserve"> контролно-измервателни уреди за измерване на качествени показатели на отпадъчна вода с възможност за работа с автономно ел.захранване - 12-36V DC</w:t>
      </w:r>
    </w:p>
    <w:p w:rsidR="00126C60" w:rsidRPr="00526A6B" w:rsidRDefault="00CC5A2A" w:rsidP="005D2605">
      <w:pPr>
        <w:jc w:val="both"/>
        <w:rPr>
          <w:rFonts w:ascii="Verdana" w:hAnsi="Verdana" w:cs="Arial"/>
          <w:sz w:val="18"/>
          <w:szCs w:val="18"/>
        </w:rPr>
      </w:pPr>
      <w:r w:rsidRPr="00526A6B" w:rsidDel="00CC5A2A">
        <w:rPr>
          <w:rFonts w:ascii="Verdana" w:hAnsi="Verdana"/>
          <w:b/>
          <w:bCs/>
          <w:sz w:val="18"/>
          <w:szCs w:val="18"/>
        </w:rPr>
        <w:t xml:space="preserve"> </w:t>
      </w:r>
      <w:r w:rsidR="00C2041D" w:rsidRPr="00526A6B">
        <w:rPr>
          <w:rFonts w:ascii="Verdana" w:hAnsi="Verdana" w:cs="Arial"/>
          <w:sz w:val="18"/>
          <w:szCs w:val="18"/>
        </w:rPr>
        <w:t>в</w:t>
      </w:r>
      <w:r w:rsidR="00126C60" w:rsidRPr="00526A6B">
        <w:rPr>
          <w:rFonts w:ascii="Verdana" w:hAnsi="Verdana" w:cs="Arial"/>
          <w:sz w:val="18"/>
          <w:szCs w:val="18"/>
        </w:rPr>
        <w:t xml:space="preserve">ъв връзка с възникнали въпроси на фирми, </w:t>
      </w:r>
      <w:r w:rsidR="00F832BE" w:rsidRPr="00526A6B">
        <w:rPr>
          <w:rFonts w:ascii="Verdana" w:hAnsi="Verdana" w:cs="Arial"/>
          <w:sz w:val="18"/>
          <w:szCs w:val="18"/>
        </w:rPr>
        <w:t>получили покана</w:t>
      </w:r>
      <w:r w:rsidR="00C3722A" w:rsidRPr="00526A6B">
        <w:rPr>
          <w:rFonts w:ascii="Verdana" w:hAnsi="Verdana" w:cs="Arial"/>
          <w:sz w:val="18"/>
          <w:szCs w:val="18"/>
        </w:rPr>
        <w:t xml:space="preserve"> </w:t>
      </w:r>
      <w:r w:rsidR="00126C60" w:rsidRPr="00526A6B">
        <w:rPr>
          <w:rFonts w:ascii="Verdana" w:hAnsi="Verdana" w:cs="Arial"/>
          <w:sz w:val="18"/>
          <w:szCs w:val="18"/>
        </w:rPr>
        <w:t xml:space="preserve">за участие в процедурата, прилагаме следното </w:t>
      </w:r>
      <w:r w:rsidR="00C2041D" w:rsidRPr="00526A6B">
        <w:rPr>
          <w:rFonts w:ascii="Verdana" w:hAnsi="Verdana" w:cs="Arial"/>
          <w:sz w:val="18"/>
          <w:szCs w:val="18"/>
        </w:rPr>
        <w:t>разяснение</w:t>
      </w:r>
      <w:r w:rsidR="00126C60" w:rsidRPr="00526A6B">
        <w:rPr>
          <w:rFonts w:ascii="Verdana" w:hAnsi="Verdana" w:cs="Arial"/>
          <w:sz w:val="18"/>
          <w:szCs w:val="18"/>
        </w:rPr>
        <w:t>:</w:t>
      </w:r>
    </w:p>
    <w:p w:rsidR="00126C60" w:rsidRPr="00526A6B" w:rsidRDefault="00126C60" w:rsidP="005D2605">
      <w:pPr>
        <w:spacing w:before="120" w:after="120"/>
        <w:jc w:val="both"/>
        <w:rPr>
          <w:rFonts w:ascii="Verdana" w:hAnsi="Verdana"/>
          <w:sz w:val="18"/>
          <w:szCs w:val="18"/>
          <w:u w:val="single"/>
          <w:lang w:val="ru-RU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sz w:val="18"/>
          <w:szCs w:val="18"/>
          <w:u w:val="single"/>
        </w:rPr>
        <w:t>:</w:t>
      </w:r>
    </w:p>
    <w:p w:rsidR="005B6410" w:rsidRPr="00526A6B" w:rsidRDefault="00B559DD" w:rsidP="005D2605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526A6B">
        <w:rPr>
          <w:rFonts w:ascii="Verdana" w:hAnsi="Verdana"/>
          <w:sz w:val="18"/>
          <w:szCs w:val="18"/>
        </w:rPr>
        <w:t>Никъде в документацията не намираме информация за нужното количество измервателни прибори по петте обособени позиции? Моля ви за малко повече информация?</w:t>
      </w:r>
    </w:p>
    <w:p w:rsidR="00126C60" w:rsidRPr="00526A6B" w:rsidRDefault="00126C60" w:rsidP="005D2605">
      <w:p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526A6B">
        <w:rPr>
          <w:rFonts w:ascii="Verdana" w:hAnsi="Verdana"/>
          <w:b/>
          <w:sz w:val="18"/>
          <w:szCs w:val="18"/>
          <w:u w:val="single"/>
        </w:rPr>
        <w:t>Отговор на въпрос 1</w:t>
      </w:r>
      <w:r w:rsidR="003119C7" w:rsidRPr="00526A6B">
        <w:rPr>
          <w:rFonts w:ascii="Verdana" w:hAnsi="Verdana"/>
          <w:b/>
          <w:sz w:val="18"/>
          <w:szCs w:val="18"/>
          <w:u w:val="single"/>
          <w:lang w:val="ru-RU"/>
        </w:rPr>
        <w:t>.</w:t>
      </w:r>
      <w:r w:rsidRPr="00526A6B">
        <w:rPr>
          <w:rFonts w:ascii="Verdana" w:hAnsi="Verdana"/>
          <w:b/>
          <w:sz w:val="18"/>
          <w:szCs w:val="18"/>
        </w:rPr>
        <w:t>:</w:t>
      </w:r>
    </w:p>
    <w:p w:rsidR="0067760D" w:rsidRPr="00526A6B" w:rsidRDefault="0067760D" w:rsidP="005D2605">
      <w:pPr>
        <w:spacing w:before="120" w:after="120"/>
        <w:jc w:val="both"/>
        <w:rPr>
          <w:rFonts w:ascii="Verdana" w:hAnsi="Verdana"/>
          <w:b/>
          <w:sz w:val="18"/>
          <w:szCs w:val="18"/>
          <w:lang w:val="ru-RU"/>
        </w:rPr>
      </w:pPr>
      <w:r w:rsidRPr="00526A6B">
        <w:rPr>
          <w:rFonts w:ascii="Verdana" w:hAnsi="Verdana"/>
          <w:b/>
          <w:sz w:val="18"/>
          <w:szCs w:val="18"/>
        </w:rPr>
        <w:t>Съгласно т. 1.6 от раздел Б Цени и данни от проекта на договора „</w:t>
      </w:r>
      <w:r w:rsidRPr="00526A6B">
        <w:rPr>
          <w:rFonts w:ascii="Verdana" w:hAnsi="Verdana"/>
          <w:sz w:val="18"/>
          <w:szCs w:val="18"/>
          <w:lang w:val="ru-RU"/>
        </w:rPr>
        <w:t xml:space="preserve">На </w:t>
      </w:r>
      <w:proofErr w:type="spellStart"/>
      <w:r w:rsidRPr="00526A6B">
        <w:rPr>
          <w:rFonts w:ascii="Verdana" w:hAnsi="Verdana"/>
          <w:sz w:val="18"/>
          <w:szCs w:val="18"/>
          <w:lang w:val="ru-RU"/>
        </w:rPr>
        <w:t>Доставчика</w:t>
      </w:r>
      <w:proofErr w:type="spellEnd"/>
      <w:r w:rsidRPr="00526A6B">
        <w:rPr>
          <w:rFonts w:ascii="Verdana" w:hAnsi="Verdana"/>
          <w:sz w:val="18"/>
          <w:szCs w:val="18"/>
          <w:lang w:val="ru-RU"/>
        </w:rPr>
        <w:t xml:space="preserve"> не </w:t>
      </w:r>
      <w:proofErr w:type="spellStart"/>
      <w:r w:rsidRPr="00526A6B">
        <w:rPr>
          <w:rFonts w:ascii="Verdana" w:hAnsi="Verdana"/>
          <w:sz w:val="18"/>
          <w:szCs w:val="18"/>
          <w:lang w:val="ru-RU"/>
        </w:rPr>
        <w:t>са</w:t>
      </w:r>
      <w:proofErr w:type="spellEnd"/>
      <w:r w:rsidRPr="00526A6B"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/>
          <w:sz w:val="18"/>
          <w:szCs w:val="18"/>
          <w:lang w:val="ru-RU"/>
        </w:rPr>
        <w:t>гарантирани</w:t>
      </w:r>
      <w:proofErr w:type="spellEnd"/>
      <w:r w:rsidRPr="00526A6B">
        <w:rPr>
          <w:rFonts w:ascii="Verdana" w:hAnsi="Verdana"/>
          <w:sz w:val="18"/>
          <w:szCs w:val="18"/>
          <w:lang w:val="ru-RU"/>
        </w:rPr>
        <w:t xml:space="preserve"> количества и </w:t>
      </w:r>
      <w:proofErr w:type="spellStart"/>
      <w:r w:rsidRPr="00526A6B">
        <w:rPr>
          <w:rFonts w:ascii="Verdana" w:hAnsi="Verdana"/>
          <w:sz w:val="18"/>
          <w:szCs w:val="18"/>
          <w:lang w:val="ru-RU"/>
        </w:rPr>
        <w:t>продължителност</w:t>
      </w:r>
      <w:proofErr w:type="spellEnd"/>
      <w:r w:rsidRPr="00526A6B"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 w:rsidRPr="00526A6B">
        <w:rPr>
          <w:rFonts w:ascii="Verdana" w:hAnsi="Verdana"/>
          <w:sz w:val="18"/>
          <w:szCs w:val="18"/>
          <w:lang w:val="ru-RU"/>
        </w:rPr>
        <w:t>дейностите</w:t>
      </w:r>
      <w:proofErr w:type="spellEnd"/>
      <w:r w:rsidR="00525ECD" w:rsidRPr="00526A6B">
        <w:rPr>
          <w:rFonts w:ascii="Verdana" w:hAnsi="Verdana"/>
          <w:sz w:val="18"/>
          <w:szCs w:val="18"/>
          <w:lang w:val="ru-RU"/>
        </w:rPr>
        <w:t>''</w:t>
      </w:r>
      <w:r w:rsidR="006D7EC1" w:rsidRPr="00526A6B">
        <w:rPr>
          <w:rFonts w:ascii="Verdana" w:hAnsi="Verdana"/>
          <w:sz w:val="18"/>
          <w:szCs w:val="18"/>
          <w:lang w:val="ru-RU"/>
        </w:rPr>
        <w:t>.</w:t>
      </w:r>
    </w:p>
    <w:p w:rsidR="006700FA" w:rsidRPr="00526A6B" w:rsidRDefault="006700FA" w:rsidP="008F50DE">
      <w:pPr>
        <w:pStyle w:val="BodyText"/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обществената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поръчка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,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която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не е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гарантирана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и е само за информация – 490 000,00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лв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без ДДС</w:t>
      </w:r>
      <w:proofErr w:type="gramStart"/>
      <w:r w:rsidRPr="00526A6B">
        <w:rPr>
          <w:rFonts w:ascii="Verdana" w:hAnsi="Verdana" w:cs="Arial"/>
          <w:sz w:val="18"/>
          <w:szCs w:val="18"/>
          <w:lang w:val="ru-RU"/>
        </w:rPr>
        <w:t xml:space="preserve"> .</w:t>
      </w:r>
      <w:proofErr w:type="gramEnd"/>
    </w:p>
    <w:p w:rsidR="006700FA" w:rsidRPr="00526A6B" w:rsidRDefault="006700FA" w:rsidP="008F50DE">
      <w:pPr>
        <w:pStyle w:val="BodyText"/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Обособена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позиция 1: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договора – 150 000.00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лв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>. без ДДС.</w:t>
      </w:r>
    </w:p>
    <w:p w:rsidR="006700FA" w:rsidRPr="00526A6B" w:rsidRDefault="006700FA" w:rsidP="008F50DE">
      <w:pPr>
        <w:pStyle w:val="BodyText"/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Обособена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позиция 2: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договора – 50 000.00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лв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>. без ДДС.</w:t>
      </w:r>
    </w:p>
    <w:p w:rsidR="006700FA" w:rsidRPr="00526A6B" w:rsidRDefault="006700FA" w:rsidP="008F50DE">
      <w:pPr>
        <w:pStyle w:val="BodyText"/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Обособена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позиция 3: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договора – 60 000.00 лв. без ДДС.</w:t>
      </w:r>
    </w:p>
    <w:p w:rsidR="006700FA" w:rsidRPr="00526A6B" w:rsidRDefault="006700FA" w:rsidP="008F50DE">
      <w:pPr>
        <w:pStyle w:val="BodyText"/>
        <w:autoSpaceDE w:val="0"/>
        <w:autoSpaceDN w:val="0"/>
        <w:adjustRightInd w:val="0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Обособена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позиция 4: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договора – 30 000.00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лв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>. без ДДС.</w:t>
      </w:r>
    </w:p>
    <w:p w:rsidR="00C90B5E" w:rsidRPr="00526A6B" w:rsidRDefault="006700FA" w:rsidP="008F50DE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Обособена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позиция 5: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прогнозна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стойност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 xml:space="preserve"> на договора – 200 000.00 </w:t>
      </w:r>
      <w:proofErr w:type="spellStart"/>
      <w:r w:rsidRPr="00526A6B">
        <w:rPr>
          <w:rFonts w:ascii="Verdana" w:hAnsi="Verdana" w:cs="Arial"/>
          <w:sz w:val="18"/>
          <w:szCs w:val="18"/>
          <w:lang w:val="ru-RU"/>
        </w:rPr>
        <w:t>лв</w:t>
      </w:r>
      <w:proofErr w:type="spellEnd"/>
      <w:r w:rsidRPr="00526A6B">
        <w:rPr>
          <w:rFonts w:ascii="Verdana" w:hAnsi="Verdana" w:cs="Arial"/>
          <w:sz w:val="18"/>
          <w:szCs w:val="18"/>
          <w:lang w:val="ru-RU"/>
        </w:rPr>
        <w:t>. без ДДС.</w:t>
      </w: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Pr="00526A6B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8"/>
          <w:szCs w:val="18"/>
        </w:rPr>
      </w:pPr>
    </w:p>
    <w:p w:rsidR="00A869CA" w:rsidRDefault="00A869CA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</w:p>
    <w:p w:rsidR="00D746E3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D746E3" w:rsidRPr="00F85C8F" w:rsidRDefault="00D746E3" w:rsidP="00D746E3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D746E3" w:rsidRPr="00C33840" w:rsidRDefault="00D746E3" w:rsidP="00D746E3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7159B7" w:rsidRPr="00D92369" w:rsidRDefault="00D746E3" w:rsidP="00D92369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lang w:val="en-US" w:eastAsia="bg-BG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sectPr w:rsidR="007159B7" w:rsidRPr="00D92369" w:rsidSect="007075FC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4A" w:rsidRDefault="00B14F4A" w:rsidP="001D0E4A">
      <w:pPr>
        <w:spacing w:after="0" w:line="240" w:lineRule="auto"/>
      </w:pPr>
      <w:r>
        <w:separator/>
      </w:r>
    </w:p>
  </w:endnote>
  <w:endnote w:type="continuationSeparator" w:id="0">
    <w:p w:rsidR="00B14F4A" w:rsidRDefault="00B14F4A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90220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9D3607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ru-RU"/>
      </w:rPr>
    </w:pPr>
    <w:r w:rsidRPr="00522D58">
      <w:rPr>
        <w:rFonts w:ascii="Arial" w:hAnsi="Arial" w:cs="Arial"/>
        <w:sz w:val="14"/>
        <w:szCs w:val="14"/>
        <w:lang w:val="en-US"/>
      </w:rPr>
      <w:t>www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sofiyskavoda</w:t>
    </w:r>
    <w:r w:rsidRPr="009D3607">
      <w:rPr>
        <w:rFonts w:ascii="Arial" w:hAnsi="Arial" w:cs="Arial"/>
        <w:sz w:val="14"/>
        <w:szCs w:val="14"/>
        <w:lang w:val="ru-RU"/>
      </w:rPr>
      <w:t>.</w:t>
    </w:r>
    <w:r w:rsidRPr="00522D58">
      <w:rPr>
        <w:rFonts w:ascii="Arial" w:hAnsi="Arial" w:cs="Arial"/>
        <w:sz w:val="14"/>
        <w:szCs w:val="14"/>
        <w:lang w:val="en-US"/>
      </w:rPr>
      <w:t>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4A" w:rsidRDefault="00B14F4A" w:rsidP="001D0E4A">
      <w:pPr>
        <w:spacing w:after="0" w:line="240" w:lineRule="auto"/>
      </w:pPr>
      <w:r>
        <w:separator/>
      </w:r>
    </w:p>
  </w:footnote>
  <w:footnote w:type="continuationSeparator" w:id="0">
    <w:p w:rsidR="00B14F4A" w:rsidRDefault="00B14F4A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762CA2" wp14:editId="5C9B4F7E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D456C5D" wp14:editId="7B5B1295">
          <wp:extent cx="1053548" cy="43241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6FE4E66C" wp14:editId="3B68A6A9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E1E7F"/>
    <w:multiLevelType w:val="multilevel"/>
    <w:tmpl w:val="7836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080" w:hanging="360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440" w:hanging="720"/>
      </w:pPr>
      <w:rPr>
        <w:rFonts w:ascii="Bookman Old Style" w:hAnsi="Bookman Old Style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</w:lvl>
  </w:abstractNum>
  <w:abstractNum w:abstractNumId="2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EC8"/>
    <w:rsid w:val="00007708"/>
    <w:rsid w:val="00013C4F"/>
    <w:rsid w:val="00016A1B"/>
    <w:rsid w:val="00016C0B"/>
    <w:rsid w:val="0003719F"/>
    <w:rsid w:val="00062606"/>
    <w:rsid w:val="00063BB7"/>
    <w:rsid w:val="000716EA"/>
    <w:rsid w:val="00074E40"/>
    <w:rsid w:val="00081F57"/>
    <w:rsid w:val="000844D2"/>
    <w:rsid w:val="000A3CDD"/>
    <w:rsid w:val="000A7454"/>
    <w:rsid w:val="000A7552"/>
    <w:rsid w:val="000C1CFA"/>
    <w:rsid w:val="000C5538"/>
    <w:rsid w:val="00126C60"/>
    <w:rsid w:val="0013799B"/>
    <w:rsid w:val="00146EB2"/>
    <w:rsid w:val="00191BDC"/>
    <w:rsid w:val="00196783"/>
    <w:rsid w:val="001C05FC"/>
    <w:rsid w:val="001C162F"/>
    <w:rsid w:val="001C353E"/>
    <w:rsid w:val="001C7E27"/>
    <w:rsid w:val="001D0E4A"/>
    <w:rsid w:val="001D5453"/>
    <w:rsid w:val="001E7ECB"/>
    <w:rsid w:val="001F1A72"/>
    <w:rsid w:val="00201683"/>
    <w:rsid w:val="002025D8"/>
    <w:rsid w:val="002148C5"/>
    <w:rsid w:val="0021699A"/>
    <w:rsid w:val="002461D2"/>
    <w:rsid w:val="002547B1"/>
    <w:rsid w:val="0026662B"/>
    <w:rsid w:val="002714A8"/>
    <w:rsid w:val="00274E37"/>
    <w:rsid w:val="00294C9E"/>
    <w:rsid w:val="00294E7F"/>
    <w:rsid w:val="002A372F"/>
    <w:rsid w:val="002B2999"/>
    <w:rsid w:val="002B2E48"/>
    <w:rsid w:val="002D2841"/>
    <w:rsid w:val="002E772C"/>
    <w:rsid w:val="002F1BA8"/>
    <w:rsid w:val="002F4D47"/>
    <w:rsid w:val="003119C7"/>
    <w:rsid w:val="00317FE7"/>
    <w:rsid w:val="00337611"/>
    <w:rsid w:val="00362379"/>
    <w:rsid w:val="003A2162"/>
    <w:rsid w:val="003A491E"/>
    <w:rsid w:val="003E3FAE"/>
    <w:rsid w:val="003F75E6"/>
    <w:rsid w:val="00404D7B"/>
    <w:rsid w:val="00404D81"/>
    <w:rsid w:val="004070D8"/>
    <w:rsid w:val="004134EB"/>
    <w:rsid w:val="00424306"/>
    <w:rsid w:val="00437906"/>
    <w:rsid w:val="00437A6A"/>
    <w:rsid w:val="004428D5"/>
    <w:rsid w:val="00456889"/>
    <w:rsid w:val="00486830"/>
    <w:rsid w:val="00491824"/>
    <w:rsid w:val="004960B5"/>
    <w:rsid w:val="004A56A9"/>
    <w:rsid w:val="004C1396"/>
    <w:rsid w:val="004C3BE9"/>
    <w:rsid w:val="004D42D2"/>
    <w:rsid w:val="004D72A3"/>
    <w:rsid w:val="004E54A4"/>
    <w:rsid w:val="004E665B"/>
    <w:rsid w:val="004F115B"/>
    <w:rsid w:val="00505203"/>
    <w:rsid w:val="00507537"/>
    <w:rsid w:val="00511636"/>
    <w:rsid w:val="00513D8F"/>
    <w:rsid w:val="00522D58"/>
    <w:rsid w:val="00524E57"/>
    <w:rsid w:val="00525ECD"/>
    <w:rsid w:val="00526A6B"/>
    <w:rsid w:val="0053697F"/>
    <w:rsid w:val="00537380"/>
    <w:rsid w:val="0055635B"/>
    <w:rsid w:val="005640E0"/>
    <w:rsid w:val="005756AC"/>
    <w:rsid w:val="00583A93"/>
    <w:rsid w:val="005959BA"/>
    <w:rsid w:val="005A0A48"/>
    <w:rsid w:val="005A0CBA"/>
    <w:rsid w:val="005A30CE"/>
    <w:rsid w:val="005B326E"/>
    <w:rsid w:val="005B6071"/>
    <w:rsid w:val="005B6410"/>
    <w:rsid w:val="005C4DE3"/>
    <w:rsid w:val="005D20E8"/>
    <w:rsid w:val="005D2605"/>
    <w:rsid w:val="005D622F"/>
    <w:rsid w:val="005D7946"/>
    <w:rsid w:val="005E270D"/>
    <w:rsid w:val="00615C35"/>
    <w:rsid w:val="0062017C"/>
    <w:rsid w:val="00624D6E"/>
    <w:rsid w:val="006301E3"/>
    <w:rsid w:val="006700FA"/>
    <w:rsid w:val="00670988"/>
    <w:rsid w:val="00675942"/>
    <w:rsid w:val="0067760D"/>
    <w:rsid w:val="0068531C"/>
    <w:rsid w:val="006A1DAA"/>
    <w:rsid w:val="006B280B"/>
    <w:rsid w:val="006B6FFC"/>
    <w:rsid w:val="006B7B0B"/>
    <w:rsid w:val="006D7EC1"/>
    <w:rsid w:val="006E46D9"/>
    <w:rsid w:val="006F0A2F"/>
    <w:rsid w:val="00700543"/>
    <w:rsid w:val="007072D4"/>
    <w:rsid w:val="007075FC"/>
    <w:rsid w:val="00715027"/>
    <w:rsid w:val="007159B7"/>
    <w:rsid w:val="00723361"/>
    <w:rsid w:val="00727744"/>
    <w:rsid w:val="00750B82"/>
    <w:rsid w:val="00753302"/>
    <w:rsid w:val="00754048"/>
    <w:rsid w:val="007623A5"/>
    <w:rsid w:val="00763F09"/>
    <w:rsid w:val="00765A9A"/>
    <w:rsid w:val="0076634E"/>
    <w:rsid w:val="00771A51"/>
    <w:rsid w:val="00787BF6"/>
    <w:rsid w:val="0079145A"/>
    <w:rsid w:val="00795F4F"/>
    <w:rsid w:val="007B124B"/>
    <w:rsid w:val="007C129C"/>
    <w:rsid w:val="007C1B19"/>
    <w:rsid w:val="007D0052"/>
    <w:rsid w:val="0080394B"/>
    <w:rsid w:val="00803979"/>
    <w:rsid w:val="008145D8"/>
    <w:rsid w:val="0081533B"/>
    <w:rsid w:val="00817887"/>
    <w:rsid w:val="00831FB6"/>
    <w:rsid w:val="008341B6"/>
    <w:rsid w:val="00834CDE"/>
    <w:rsid w:val="00840044"/>
    <w:rsid w:val="00842CEF"/>
    <w:rsid w:val="00861604"/>
    <w:rsid w:val="00864F67"/>
    <w:rsid w:val="008764BF"/>
    <w:rsid w:val="00876FE7"/>
    <w:rsid w:val="00883D43"/>
    <w:rsid w:val="00894C76"/>
    <w:rsid w:val="008A1B4B"/>
    <w:rsid w:val="008C397D"/>
    <w:rsid w:val="008D6CD2"/>
    <w:rsid w:val="008F50DE"/>
    <w:rsid w:val="00914287"/>
    <w:rsid w:val="00914C19"/>
    <w:rsid w:val="00915DC2"/>
    <w:rsid w:val="00926736"/>
    <w:rsid w:val="00930DF9"/>
    <w:rsid w:val="009332C3"/>
    <w:rsid w:val="009457E8"/>
    <w:rsid w:val="00946E2A"/>
    <w:rsid w:val="009573AD"/>
    <w:rsid w:val="00967D90"/>
    <w:rsid w:val="00973754"/>
    <w:rsid w:val="009813CA"/>
    <w:rsid w:val="00986F7A"/>
    <w:rsid w:val="009955B8"/>
    <w:rsid w:val="009B640B"/>
    <w:rsid w:val="009D303D"/>
    <w:rsid w:val="009D3607"/>
    <w:rsid w:val="009E6E47"/>
    <w:rsid w:val="009F4487"/>
    <w:rsid w:val="009F7459"/>
    <w:rsid w:val="00A143C1"/>
    <w:rsid w:val="00A25EB5"/>
    <w:rsid w:val="00A315FE"/>
    <w:rsid w:val="00A37CA2"/>
    <w:rsid w:val="00A419A1"/>
    <w:rsid w:val="00A62FC9"/>
    <w:rsid w:val="00A77E43"/>
    <w:rsid w:val="00A80BE8"/>
    <w:rsid w:val="00A84A2B"/>
    <w:rsid w:val="00A869CA"/>
    <w:rsid w:val="00A90BE1"/>
    <w:rsid w:val="00AB2318"/>
    <w:rsid w:val="00AB40CA"/>
    <w:rsid w:val="00AC4F92"/>
    <w:rsid w:val="00AD2BD3"/>
    <w:rsid w:val="00AF527A"/>
    <w:rsid w:val="00B14F4A"/>
    <w:rsid w:val="00B35DDA"/>
    <w:rsid w:val="00B435E5"/>
    <w:rsid w:val="00B460CB"/>
    <w:rsid w:val="00B47732"/>
    <w:rsid w:val="00B546A8"/>
    <w:rsid w:val="00B559DD"/>
    <w:rsid w:val="00B66972"/>
    <w:rsid w:val="00B90220"/>
    <w:rsid w:val="00B912B3"/>
    <w:rsid w:val="00BA0860"/>
    <w:rsid w:val="00BA10CC"/>
    <w:rsid w:val="00BB1CF5"/>
    <w:rsid w:val="00BC27E0"/>
    <w:rsid w:val="00BD2C91"/>
    <w:rsid w:val="00BD64F8"/>
    <w:rsid w:val="00BD782E"/>
    <w:rsid w:val="00BE0172"/>
    <w:rsid w:val="00BE305C"/>
    <w:rsid w:val="00BE6AEB"/>
    <w:rsid w:val="00BF2D26"/>
    <w:rsid w:val="00C03F9B"/>
    <w:rsid w:val="00C04F04"/>
    <w:rsid w:val="00C2041D"/>
    <w:rsid w:val="00C335DD"/>
    <w:rsid w:val="00C3722A"/>
    <w:rsid w:val="00C666A5"/>
    <w:rsid w:val="00C70E09"/>
    <w:rsid w:val="00C7507F"/>
    <w:rsid w:val="00C861FE"/>
    <w:rsid w:val="00C90B5E"/>
    <w:rsid w:val="00C93742"/>
    <w:rsid w:val="00C97014"/>
    <w:rsid w:val="00CA47B1"/>
    <w:rsid w:val="00CB23A6"/>
    <w:rsid w:val="00CB27E4"/>
    <w:rsid w:val="00CB31A0"/>
    <w:rsid w:val="00CB5110"/>
    <w:rsid w:val="00CB6910"/>
    <w:rsid w:val="00CC537D"/>
    <w:rsid w:val="00CC5A2A"/>
    <w:rsid w:val="00CD4649"/>
    <w:rsid w:val="00CD61E1"/>
    <w:rsid w:val="00CE1286"/>
    <w:rsid w:val="00D0349F"/>
    <w:rsid w:val="00D60B86"/>
    <w:rsid w:val="00D7037F"/>
    <w:rsid w:val="00D70C1D"/>
    <w:rsid w:val="00D746E3"/>
    <w:rsid w:val="00D7704B"/>
    <w:rsid w:val="00D92369"/>
    <w:rsid w:val="00D92E0D"/>
    <w:rsid w:val="00DA501A"/>
    <w:rsid w:val="00DB3CF1"/>
    <w:rsid w:val="00DC18A2"/>
    <w:rsid w:val="00DC1BF6"/>
    <w:rsid w:val="00DC1DBA"/>
    <w:rsid w:val="00DD0B52"/>
    <w:rsid w:val="00DD3720"/>
    <w:rsid w:val="00E0490E"/>
    <w:rsid w:val="00E163EF"/>
    <w:rsid w:val="00E227B5"/>
    <w:rsid w:val="00E24ABC"/>
    <w:rsid w:val="00E364E6"/>
    <w:rsid w:val="00E42055"/>
    <w:rsid w:val="00E47E22"/>
    <w:rsid w:val="00E52349"/>
    <w:rsid w:val="00E559B6"/>
    <w:rsid w:val="00E648E3"/>
    <w:rsid w:val="00E663D6"/>
    <w:rsid w:val="00E705A5"/>
    <w:rsid w:val="00E71B63"/>
    <w:rsid w:val="00E776F1"/>
    <w:rsid w:val="00E84CDD"/>
    <w:rsid w:val="00E96BC0"/>
    <w:rsid w:val="00EB25DF"/>
    <w:rsid w:val="00EB2D2E"/>
    <w:rsid w:val="00EB722D"/>
    <w:rsid w:val="00ED47CA"/>
    <w:rsid w:val="00ED6257"/>
    <w:rsid w:val="00ED7913"/>
    <w:rsid w:val="00EE2FE6"/>
    <w:rsid w:val="00EF4FC5"/>
    <w:rsid w:val="00EF62EA"/>
    <w:rsid w:val="00F01E22"/>
    <w:rsid w:val="00F04F07"/>
    <w:rsid w:val="00F1045E"/>
    <w:rsid w:val="00F41E45"/>
    <w:rsid w:val="00F60F97"/>
    <w:rsid w:val="00F63B6A"/>
    <w:rsid w:val="00F70B6B"/>
    <w:rsid w:val="00F832BE"/>
    <w:rsid w:val="00F96B5A"/>
    <w:rsid w:val="00FA079C"/>
    <w:rsid w:val="00FA3759"/>
    <w:rsid w:val="00FA3FE2"/>
    <w:rsid w:val="00FC69E5"/>
    <w:rsid w:val="00FC733A"/>
    <w:rsid w:val="00FD5118"/>
    <w:rsid w:val="00FE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NormalWeb">
    <w:name w:val="Normal (Web)"/>
    <w:basedOn w:val="Normal"/>
    <w:uiPriority w:val="99"/>
    <w:semiHidden/>
    <w:unhideWhenUsed/>
    <w:rsid w:val="0049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B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ТТ001770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1488</PublicOrder>
  </documentManagement>
</p:properties>
</file>

<file path=customXml/itemProps1.xml><?xml version="1.0" encoding="utf-8"?>
<ds:datastoreItem xmlns:ds="http://schemas.openxmlformats.org/officeDocument/2006/customXml" ds:itemID="{E3B6A5F8-74CF-4C37-9945-1C462FFD0964}"/>
</file>

<file path=customXml/itemProps2.xml><?xml version="1.0" encoding="utf-8"?>
<ds:datastoreItem xmlns:ds="http://schemas.openxmlformats.org/officeDocument/2006/customXml" ds:itemID="{2E21117D-FE2A-4B48-AB67-E8AF42EAE2AC}"/>
</file>

<file path=customXml/itemProps3.xml><?xml version="1.0" encoding="utf-8"?>
<ds:datastoreItem xmlns:ds="http://schemas.openxmlformats.org/officeDocument/2006/customXml" ds:itemID="{53545970-9093-47F3-B3A8-DA5FC8B96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2018-07-12T10:52:00Z</cp:lastPrinted>
  <dcterms:created xsi:type="dcterms:W3CDTF">2018-07-12T07:32:00Z</dcterms:created>
  <dcterms:modified xsi:type="dcterms:W3CDTF">2018-07-12T10:54:00Z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