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B767" w14:textId="36F777D7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922556" w:rsidRPr="00922556">
        <w:rPr>
          <w:rFonts w:ascii="Arial" w:hAnsi="Arial" w:cs="Arial"/>
          <w:b/>
          <w:spacing w:val="48"/>
          <w:sz w:val="28"/>
          <w:szCs w:val="28"/>
          <w:lang w:val="bg-BG"/>
        </w:rPr>
        <w:t>10034661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38DA989B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761BBAF7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0E079B0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5EA9146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0877E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032A7CC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351D561D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417D6E4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03FC682C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51350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7BF92E54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25C1EBE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73142C7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7FBFD4B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11B82" w14:textId="77777777" w:rsidR="006A4783" w:rsidRPr="00F93620" w:rsidRDefault="008F0B77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3012F32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1734022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70165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0150395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74305" w14:textId="7638CF4E" w:rsidR="006A4783" w:rsidRPr="00417917" w:rsidRDefault="008B44F5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16.04.2026</w:t>
            </w:r>
          </w:p>
        </w:tc>
      </w:tr>
      <w:tr w:rsidR="001F3E12" w:rsidRPr="00F93620" w14:paraId="56FEC073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62060A6F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B2F2D" w14:textId="77777777" w:rsidR="001F3E12" w:rsidRPr="00731E67" w:rsidRDefault="008F580F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sz w:val="18"/>
                <w:szCs w:val="18"/>
                <w:lang w:val="bg-BG"/>
              </w:rPr>
            </w:pPr>
            <w:r w:rsidRPr="008F580F">
              <w:rPr>
                <w:rFonts w:cs="Arial"/>
                <w:sz w:val="18"/>
                <w:szCs w:val="18"/>
                <w:lang w:val="bg-BG"/>
              </w:rPr>
              <w:t>Оферта за доставка на стоки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Pr="008F580F">
              <w:rPr>
                <w:rFonts w:cs="Arial"/>
                <w:sz w:val="18"/>
                <w:szCs w:val="18"/>
                <w:lang w:val="bg-BG"/>
              </w:rPr>
              <w:t>/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Pr="008F580F">
              <w:rPr>
                <w:rFonts w:cs="Arial"/>
                <w:sz w:val="18"/>
                <w:szCs w:val="18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39DD8593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A2309" w14:textId="1617877B" w:rsidR="001F3E12" w:rsidRPr="00CC3157" w:rsidRDefault="00D82DFC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3</w:t>
            </w:r>
          </w:p>
        </w:tc>
      </w:tr>
      <w:tr w:rsidR="001F3E12" w:rsidRPr="00F93620" w14:paraId="0CBA1F33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29CDC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0CC724A8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4ED5F5B5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FEED5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5B4B9562" w14:textId="77777777" w:rsidR="00782AA7" w:rsidRDefault="00EA1EE4" w:rsidP="00575316">
      <w:pPr>
        <w:pStyle w:val="BodyText"/>
        <w:spacing w:before="120" w:after="12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7DAEBC3C" w14:textId="77777777" w:rsidR="00EA1EE4" w:rsidRPr="00F93620" w:rsidRDefault="00782AA7" w:rsidP="00575316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3378340C" w14:textId="03609D1C" w:rsidR="00EA2357" w:rsidRDefault="00224A73" w:rsidP="00575316">
      <w:pPr>
        <w:pStyle w:val="BodyText"/>
        <w:spacing w:after="60" w:line="240" w:lineRule="auto"/>
        <w:ind w:firstLine="567"/>
        <w:rPr>
          <w:rFonts w:cs="Arial"/>
          <w:b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D82DFC">
        <w:rPr>
          <w:rFonts w:cs="Arial"/>
          <w:b/>
          <w:bCs/>
          <w:lang w:val="bg-BG"/>
        </w:rPr>
        <w:t>15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</w:t>
      </w:r>
      <w:r w:rsidR="007962F4" w:rsidRPr="007962F4">
        <w:rPr>
          <w:rFonts w:cs="Arial"/>
          <w:lang w:val="bg-BG"/>
        </w:rPr>
        <w:t>да ни предложите оферта, съдържаща техническо и финансово предложение за сключване на договор, при описаните по-долу</w:t>
      </w:r>
      <w:r w:rsidR="007962F4">
        <w:rPr>
          <w:rFonts w:cs="Arial"/>
          <w:lang w:val="bg-BG"/>
        </w:rPr>
        <w:t xml:space="preserve"> и приложенията към поканата</w:t>
      </w:r>
      <w:r w:rsidR="007962F4" w:rsidRPr="007962F4">
        <w:rPr>
          <w:rFonts w:cs="Arial"/>
          <w:lang w:val="bg-BG"/>
        </w:rPr>
        <w:t xml:space="preserve"> условия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p w14:paraId="257179B7" w14:textId="77777777" w:rsidR="00773ED1" w:rsidRPr="00773ED1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 xml:space="preserve">Предмет на договаряне – </w:t>
      </w:r>
      <w:r>
        <w:rPr>
          <w:rFonts w:cs="Arial"/>
          <w:b/>
          <w:bCs/>
          <w:color w:val="000000"/>
          <w:lang w:val="bg-BG"/>
        </w:rPr>
        <w:t>сключване на договор за</w:t>
      </w:r>
      <w:r w:rsidRPr="00773ED1">
        <w:rPr>
          <w:rFonts w:cs="Arial"/>
          <w:b/>
          <w:bCs/>
          <w:color w:val="000000"/>
          <w:lang w:val="bg-BG"/>
        </w:rPr>
        <w:t xml:space="preserve"> следните услуги:</w:t>
      </w:r>
    </w:p>
    <w:p w14:paraId="0F3E8E22" w14:textId="7CACE6E5" w:rsidR="0092701F" w:rsidRPr="0092701F" w:rsidRDefault="0092701F" w:rsidP="00575316">
      <w:pPr>
        <w:pStyle w:val="BodyText"/>
        <w:spacing w:after="60" w:line="240" w:lineRule="auto"/>
        <w:ind w:left="714"/>
        <w:rPr>
          <w:rFonts w:cs="Arial"/>
          <w:b/>
          <w:bCs/>
          <w:color w:val="000000"/>
          <w:lang w:val="en-US"/>
        </w:rPr>
      </w:pPr>
      <w:r w:rsidRPr="0092701F">
        <w:rPr>
          <w:rFonts w:cs="Arial"/>
          <w:b/>
          <w:bCs/>
          <w:color w:val="000000"/>
          <w:lang w:val="bg-BG"/>
        </w:rPr>
        <w:t>Извънгаранционно сервизно обслужване на измервателни прибори (настолни и портативни) – pH-метри, кондуктометри, оксиметри, портативен турбидиметър, портативен спектрофотометри, термометри и везни</w:t>
      </w:r>
      <w:r w:rsidRPr="0092701F">
        <w:rPr>
          <w:rFonts w:cs="Arial"/>
          <w:b/>
          <w:bCs/>
          <w:color w:val="000000"/>
          <w:lang w:val="en-US"/>
        </w:rPr>
        <w:t>.</w:t>
      </w:r>
    </w:p>
    <w:p w14:paraId="3BD0D9FD" w14:textId="60CAE301" w:rsidR="00773ED1" w:rsidRPr="00834C0E" w:rsidRDefault="00773ED1" w:rsidP="00575316">
      <w:pPr>
        <w:pStyle w:val="BodyText"/>
        <w:spacing w:after="60" w:line="240" w:lineRule="auto"/>
        <w:ind w:left="714"/>
        <w:rPr>
          <w:rFonts w:cs="Arial"/>
          <w:i/>
          <w:iCs/>
          <w:color w:val="000000"/>
          <w:lang w:val="bg-BG"/>
        </w:rPr>
      </w:pPr>
      <w:r w:rsidRPr="00834C0E">
        <w:rPr>
          <w:rFonts w:cs="Arial"/>
          <w:i/>
          <w:iCs/>
          <w:color w:val="000000"/>
          <w:lang w:val="bg-BG"/>
        </w:rPr>
        <w:t xml:space="preserve">Проект на договор ще откриете в </w:t>
      </w:r>
      <w:r w:rsidRPr="00D82DFC">
        <w:rPr>
          <w:rFonts w:cs="Arial"/>
          <w:i/>
          <w:iCs/>
          <w:color w:val="000000"/>
          <w:lang w:val="bg-BG"/>
        </w:rPr>
        <w:t xml:space="preserve">Приложение </w:t>
      </w:r>
      <w:r w:rsidR="00FA7C50">
        <w:rPr>
          <w:rFonts w:cs="Arial"/>
          <w:i/>
          <w:iCs/>
          <w:color w:val="000000"/>
          <w:lang w:val="en-US"/>
        </w:rPr>
        <w:t>A</w:t>
      </w:r>
      <w:r w:rsidRPr="00834C0E">
        <w:rPr>
          <w:rFonts w:cs="Arial"/>
          <w:i/>
          <w:iCs/>
          <w:color w:val="000000"/>
          <w:lang w:val="bg-BG"/>
        </w:rPr>
        <w:t xml:space="preserve"> към поканата.</w:t>
      </w:r>
    </w:p>
    <w:p w14:paraId="56479228" w14:textId="0A171FF1" w:rsidR="00773ED1" w:rsidRPr="000C3B7F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>Техниче</w:t>
      </w:r>
      <w:r w:rsidR="0092701F">
        <w:rPr>
          <w:rFonts w:cs="Arial"/>
          <w:b/>
          <w:bCs/>
          <w:color w:val="000000"/>
          <w:lang w:val="bg-BG"/>
        </w:rPr>
        <w:t>ско задание</w:t>
      </w:r>
      <w:r w:rsidRPr="00773ED1">
        <w:rPr>
          <w:rFonts w:cs="Arial"/>
          <w:b/>
          <w:bCs/>
          <w:color w:val="000000"/>
          <w:lang w:val="bg-BG"/>
        </w:rPr>
        <w:t xml:space="preserve"> </w:t>
      </w:r>
      <w:r w:rsidRPr="00773ED1">
        <w:rPr>
          <w:rFonts w:cs="Arial"/>
          <w:color w:val="000000"/>
          <w:lang w:val="bg-BG"/>
        </w:rPr>
        <w:t xml:space="preserve">– </w:t>
      </w:r>
      <w:r w:rsidRPr="0092701F">
        <w:rPr>
          <w:rFonts w:cs="Arial"/>
          <w:i/>
          <w:iCs/>
          <w:color w:val="000000"/>
          <w:lang w:val="bg-BG"/>
        </w:rPr>
        <w:t xml:space="preserve">в </w:t>
      </w:r>
      <w:r w:rsidRPr="0060363F">
        <w:rPr>
          <w:rFonts w:cs="Arial"/>
          <w:i/>
          <w:iCs/>
          <w:color w:val="000000"/>
          <w:lang w:val="bg-BG"/>
        </w:rPr>
        <w:t xml:space="preserve">Приложение </w:t>
      </w:r>
      <w:r w:rsidR="00FA7C50">
        <w:rPr>
          <w:rFonts w:cs="Arial"/>
          <w:i/>
          <w:iCs/>
          <w:color w:val="000000"/>
          <w:lang w:val="bg-BG"/>
        </w:rPr>
        <w:t>Б</w:t>
      </w:r>
      <w:r w:rsidRPr="0092701F">
        <w:rPr>
          <w:rFonts w:cs="Arial"/>
          <w:i/>
          <w:iCs/>
          <w:color w:val="000000"/>
          <w:lang w:val="bg-BG"/>
        </w:rPr>
        <w:t xml:space="preserve"> към поканата</w:t>
      </w:r>
      <w:r w:rsidRPr="00376C3F">
        <w:rPr>
          <w:rFonts w:cs="Arial"/>
          <w:b/>
          <w:bCs/>
          <w:i/>
          <w:iCs/>
          <w:color w:val="000000"/>
          <w:lang w:val="bg-BG"/>
        </w:rPr>
        <w:t>.</w:t>
      </w:r>
    </w:p>
    <w:p w14:paraId="12BEDACE" w14:textId="60404AB1" w:rsidR="00773ED1" w:rsidRPr="0092701F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92701F">
        <w:rPr>
          <w:rFonts w:cs="Arial"/>
          <w:b/>
          <w:bCs/>
          <w:color w:val="000000"/>
          <w:lang w:val="bg-BG"/>
        </w:rPr>
        <w:t xml:space="preserve">Място на изпълнение: </w:t>
      </w:r>
      <w:r w:rsidR="0092701F" w:rsidRPr="0092701F">
        <w:rPr>
          <w:rFonts w:cs="Arial"/>
          <w:color w:val="000000"/>
          <w:lang w:val="bg-BG"/>
        </w:rPr>
        <w:t>1)</w:t>
      </w:r>
      <w:r w:rsidR="0092701F" w:rsidRPr="0092701F">
        <w:rPr>
          <w:rFonts w:cs="Arial"/>
          <w:b/>
          <w:bCs/>
          <w:color w:val="000000"/>
          <w:lang w:val="bg-BG"/>
        </w:rPr>
        <w:t xml:space="preserve"> </w:t>
      </w:r>
      <w:r w:rsidR="0092701F" w:rsidRPr="0092701F">
        <w:rPr>
          <w:rFonts w:cs="Arial"/>
          <w:color w:val="000000"/>
          <w:lang w:val="bg-BG"/>
        </w:rPr>
        <w:t>ЛИК Отпадъчни води при СПСОВ Кубратово, кв. „Бенковски“, гр. София 1278,  административна сграда;</w:t>
      </w:r>
      <w:r w:rsidR="0092701F">
        <w:rPr>
          <w:rFonts w:cs="Arial"/>
          <w:color w:val="000000"/>
          <w:lang w:val="bg-BG"/>
        </w:rPr>
        <w:t xml:space="preserve"> 2) </w:t>
      </w:r>
      <w:r w:rsidR="0092701F" w:rsidRPr="0092701F">
        <w:rPr>
          <w:rFonts w:cs="Arial"/>
          <w:color w:val="000000"/>
          <w:lang w:val="bg-BG"/>
        </w:rPr>
        <w:t>ЛИК Питейни води, кв. „Бункера“, ул. „Хотнишки водопад“ №2, гр. София 1756, ПСПВ „Бистрица“, административна сграда, етаж 3, е обект санитарно-охранителна зона със стратегическо значение.</w:t>
      </w:r>
    </w:p>
    <w:p w14:paraId="3EDCD53F" w14:textId="1B891368" w:rsidR="00773ED1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 xml:space="preserve">Срок на изпълнение: </w:t>
      </w:r>
      <w:r w:rsidR="0092701F" w:rsidRPr="0092701F">
        <w:rPr>
          <w:rFonts w:cs="Arial"/>
          <w:color w:val="000000"/>
          <w:lang w:val="bg-BG"/>
        </w:rPr>
        <w:t>Договорът се сключва за срок от 24 (двадесет и четири) месеца и влиза в сила считано от датата на първата поръчка по него. В случай че до датата 27.07.2026г не е изпратена поръчка, срокът на договора започва да тече от същата дата. В случай че договорът е подписан след 27.07.2026г, срокът от 24 месеца започва да тече, считано от датата на подписването му</w:t>
      </w:r>
    </w:p>
    <w:p w14:paraId="38EDA582" w14:textId="77777777" w:rsidR="00376C3F" w:rsidRDefault="00376C3F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376C3F">
        <w:rPr>
          <w:rFonts w:cs="Arial"/>
          <w:b/>
          <w:bCs/>
          <w:color w:val="000000"/>
          <w:lang w:val="bg-BG"/>
        </w:rPr>
        <w:t>Изисквания относно възможностите и квалификацията на участниците:</w:t>
      </w:r>
    </w:p>
    <w:p w14:paraId="0AE81367" w14:textId="1F48C735" w:rsidR="00575316" w:rsidRPr="00575316" w:rsidRDefault="00575316" w:rsidP="00575316">
      <w:pPr>
        <w:pStyle w:val="BodyText"/>
        <w:spacing w:after="60" w:line="240" w:lineRule="auto"/>
        <w:ind w:left="284"/>
        <w:rPr>
          <w:rFonts w:cs="Arial"/>
          <w:b/>
          <w:bCs/>
          <w:color w:val="000000"/>
          <w:lang w:val="bg-BG"/>
        </w:rPr>
      </w:pPr>
      <w:r w:rsidRPr="00575316">
        <w:rPr>
          <w:rFonts w:cs="Arial"/>
          <w:b/>
          <w:bCs/>
          <w:color w:val="000000"/>
          <w:lang w:val="bg-BG"/>
        </w:rPr>
        <w:t>Изискване 1:</w:t>
      </w:r>
      <w:r>
        <w:rPr>
          <w:rFonts w:cs="Arial"/>
          <w:b/>
          <w:bCs/>
          <w:color w:val="000000"/>
          <w:lang w:val="bg-BG"/>
        </w:rPr>
        <w:t xml:space="preserve"> </w:t>
      </w:r>
      <w:r w:rsidRPr="0092701F">
        <w:rPr>
          <w:rFonts w:cs="Arial"/>
          <w:color w:val="000000"/>
          <w:lang w:val="bg-BG"/>
        </w:rPr>
        <w:t>Участникът да разполага с персонал и/или ръководен състав, с определена професионална компетентност, който  ще бъде  ангажиран с  изпълнението на поръчката</w:t>
      </w:r>
      <w:r w:rsidRPr="00376C3F">
        <w:rPr>
          <w:rFonts w:cs="Arial"/>
          <w:color w:val="000000"/>
          <w:lang w:val="bg-BG"/>
        </w:rPr>
        <w:t>.</w:t>
      </w:r>
      <w:r>
        <w:rPr>
          <w:rFonts w:cs="Arial"/>
          <w:color w:val="000000"/>
          <w:lang w:val="bg-BG"/>
        </w:rPr>
        <w:t xml:space="preserve"> </w:t>
      </w:r>
      <w:r w:rsidRPr="00575316">
        <w:rPr>
          <w:rFonts w:cs="Arial"/>
          <w:color w:val="000000"/>
          <w:lang w:val="bg-BG"/>
        </w:rPr>
        <w:t>Минимални изисквания</w:t>
      </w:r>
      <w:r>
        <w:rPr>
          <w:rFonts w:cs="Arial"/>
          <w:color w:val="000000"/>
          <w:lang w:val="bg-BG"/>
        </w:rPr>
        <w:t>:</w:t>
      </w:r>
    </w:p>
    <w:p w14:paraId="51D95F0E" w14:textId="77777777" w:rsidR="00575316" w:rsidRPr="00575316" w:rsidRDefault="00575316" w:rsidP="00D82DFC">
      <w:pPr>
        <w:pStyle w:val="BodyText"/>
        <w:spacing w:after="60" w:line="240" w:lineRule="auto"/>
        <w:ind w:left="1134" w:hanging="567"/>
        <w:rPr>
          <w:rFonts w:cs="Arial"/>
          <w:color w:val="000000"/>
          <w:lang w:val="bg-BG"/>
        </w:rPr>
      </w:pPr>
      <w:r w:rsidRPr="00575316">
        <w:rPr>
          <w:rFonts w:cs="Arial"/>
          <w:color w:val="000000"/>
          <w:lang w:val="bg-BG"/>
        </w:rPr>
        <w:t>a)</w:t>
      </w:r>
      <w:r w:rsidRPr="00575316">
        <w:rPr>
          <w:rFonts w:cs="Arial"/>
          <w:color w:val="000000"/>
          <w:lang w:val="bg-BG"/>
        </w:rPr>
        <w:tab/>
        <w:t xml:space="preserve">Минимум 1 (един) сервизен инженер с компетенции за сервизно обслужване на приборите, предмет на поканата. </w:t>
      </w:r>
    </w:p>
    <w:p w14:paraId="2DD1AC57" w14:textId="77777777" w:rsidR="00575316" w:rsidRDefault="00575316" w:rsidP="00575316">
      <w:pPr>
        <w:pStyle w:val="BodyText"/>
        <w:spacing w:after="60" w:line="240" w:lineRule="auto"/>
        <w:ind w:left="1134" w:hanging="567"/>
        <w:rPr>
          <w:rFonts w:cs="Arial"/>
          <w:color w:val="000000"/>
          <w:lang w:val="bg-BG"/>
        </w:rPr>
      </w:pPr>
      <w:r w:rsidRPr="00575316">
        <w:rPr>
          <w:rFonts w:cs="Arial"/>
          <w:color w:val="000000"/>
          <w:lang w:val="bg-BG"/>
        </w:rPr>
        <w:t>b)</w:t>
      </w:r>
      <w:r w:rsidRPr="00575316">
        <w:rPr>
          <w:rFonts w:cs="Arial"/>
          <w:color w:val="000000"/>
          <w:lang w:val="bg-BG"/>
        </w:rPr>
        <w:tab/>
        <w:t>Минимум 1 (един) служител, който да имат минимум 2 години професионален опит в областта на икономиката и/или логистиката.</w:t>
      </w:r>
    </w:p>
    <w:p w14:paraId="2268A5DA" w14:textId="7E2BF9DC" w:rsidR="00575316" w:rsidRPr="00575316" w:rsidRDefault="00575316" w:rsidP="00575316">
      <w:pPr>
        <w:pStyle w:val="BodyText"/>
        <w:spacing w:after="60" w:line="240" w:lineRule="auto"/>
        <w:ind w:left="284"/>
        <w:rPr>
          <w:rFonts w:cs="Arial"/>
          <w:b/>
          <w:bCs/>
          <w:color w:val="000000"/>
          <w:lang w:val="bg-BG"/>
        </w:rPr>
      </w:pPr>
      <w:r w:rsidRPr="00575316">
        <w:rPr>
          <w:rFonts w:cs="Arial"/>
          <w:b/>
          <w:bCs/>
          <w:color w:val="000000"/>
          <w:lang w:val="bg-BG"/>
        </w:rPr>
        <w:t xml:space="preserve">Доказване 1: </w:t>
      </w:r>
    </w:p>
    <w:p w14:paraId="23AF57C4" w14:textId="77777777" w:rsidR="00575316" w:rsidRPr="00575316" w:rsidRDefault="00575316" w:rsidP="00575316">
      <w:pPr>
        <w:pStyle w:val="BodyText"/>
        <w:numPr>
          <w:ilvl w:val="0"/>
          <w:numId w:val="36"/>
        </w:numPr>
        <w:spacing w:after="60" w:line="240" w:lineRule="auto"/>
        <w:rPr>
          <w:rFonts w:cs="Arial"/>
          <w:color w:val="000000"/>
          <w:lang w:val="bg-BG"/>
        </w:rPr>
      </w:pPr>
      <w:r w:rsidRPr="00575316">
        <w:rPr>
          <w:rFonts w:cs="Arial"/>
          <w:color w:val="000000"/>
          <w:lang w:val="bg-BG"/>
        </w:rPr>
        <w:t xml:space="preserve">Участникът представя списък на персонала, който ще бъде ангажиран с  изпълнението на поръчката, и на членовете на ръководния състав, които ще отговарят за изпълнението, в който е посочена професионална компетентност на лицата. </w:t>
      </w:r>
    </w:p>
    <w:p w14:paraId="0FF33AFB" w14:textId="1EF2D422" w:rsidR="00376C3F" w:rsidRDefault="00575316" w:rsidP="00575316">
      <w:pPr>
        <w:pStyle w:val="BodyText"/>
        <w:numPr>
          <w:ilvl w:val="0"/>
          <w:numId w:val="36"/>
        </w:numPr>
        <w:spacing w:after="60" w:line="240" w:lineRule="auto"/>
        <w:rPr>
          <w:rFonts w:cs="Arial"/>
          <w:color w:val="000000"/>
          <w:lang w:val="bg-BG"/>
        </w:rPr>
      </w:pPr>
      <w:r w:rsidRPr="00575316">
        <w:rPr>
          <w:rFonts w:cs="Arial"/>
          <w:color w:val="000000"/>
          <w:lang w:val="bg-BG"/>
        </w:rPr>
        <w:t>Списъкът трябва да съдържа имената на служителите (персонала), образование, професионална квалификация и професионален опит в областта на сервизното обслужване на приборите</w:t>
      </w:r>
      <w:r>
        <w:rPr>
          <w:rFonts w:cs="Arial"/>
          <w:color w:val="000000"/>
          <w:lang w:val="bg-BG"/>
        </w:rPr>
        <w:t>.</w:t>
      </w:r>
      <w:r w:rsidR="00376C3F" w:rsidRPr="00376C3F">
        <w:rPr>
          <w:rFonts w:cs="Arial"/>
          <w:color w:val="000000"/>
          <w:lang w:val="bg-BG"/>
        </w:rPr>
        <w:t xml:space="preserve"> </w:t>
      </w:r>
    </w:p>
    <w:p w14:paraId="2DEA798B" w14:textId="5758CAA4" w:rsidR="00575316" w:rsidRPr="00575316" w:rsidRDefault="00575316" w:rsidP="00575316">
      <w:pPr>
        <w:pStyle w:val="BodyText"/>
        <w:spacing w:after="60" w:line="240" w:lineRule="auto"/>
        <w:ind w:left="284"/>
        <w:rPr>
          <w:rFonts w:cs="Arial"/>
          <w:b/>
          <w:bCs/>
          <w:color w:val="000000"/>
          <w:lang w:val="bg-BG"/>
        </w:rPr>
      </w:pPr>
      <w:r w:rsidRPr="00575316">
        <w:rPr>
          <w:rFonts w:cs="Arial"/>
          <w:b/>
          <w:bCs/>
          <w:color w:val="000000"/>
          <w:lang w:val="bg-BG"/>
        </w:rPr>
        <w:t xml:space="preserve">Изискване </w:t>
      </w:r>
      <w:r>
        <w:rPr>
          <w:rFonts w:cs="Arial"/>
          <w:b/>
          <w:bCs/>
          <w:color w:val="000000"/>
          <w:lang w:val="bg-BG"/>
        </w:rPr>
        <w:t>2</w:t>
      </w:r>
      <w:r w:rsidRPr="00575316">
        <w:rPr>
          <w:rFonts w:cs="Arial"/>
          <w:b/>
          <w:bCs/>
          <w:color w:val="000000"/>
          <w:lang w:val="bg-BG"/>
        </w:rPr>
        <w:t>:</w:t>
      </w:r>
      <w:r>
        <w:rPr>
          <w:rFonts w:cs="Arial"/>
          <w:b/>
          <w:bCs/>
          <w:color w:val="000000"/>
          <w:lang w:val="bg-BG"/>
        </w:rPr>
        <w:t xml:space="preserve"> </w:t>
      </w:r>
      <w:r w:rsidRPr="00575316">
        <w:rPr>
          <w:rFonts w:cs="Arial"/>
          <w:color w:val="000000"/>
          <w:lang w:val="bg-BG"/>
        </w:rPr>
        <w:t>Участникът да прилага система за управление на качеството по ISO 9001:2015 или еквивалент. Обхватът на сертификата следва да покрива обхвата на дейност, имаща отношение към предмета на поканата, а именно, търговия/вкл. доставка на резервни части и консумативи, сервизно обслужване и поддръжка на лабораторно оборудване</w:t>
      </w:r>
      <w:r>
        <w:rPr>
          <w:rFonts w:cs="Arial"/>
          <w:color w:val="000000"/>
          <w:lang w:val="bg-BG"/>
        </w:rPr>
        <w:t>.</w:t>
      </w:r>
    </w:p>
    <w:p w14:paraId="174598B3" w14:textId="5F3A5C57" w:rsidR="00575316" w:rsidRPr="00575316" w:rsidRDefault="00575316" w:rsidP="00575316">
      <w:pPr>
        <w:pStyle w:val="BodyText"/>
        <w:spacing w:after="60" w:line="240" w:lineRule="auto"/>
        <w:ind w:left="284"/>
        <w:rPr>
          <w:rFonts w:cs="Arial"/>
          <w:b/>
          <w:bCs/>
          <w:color w:val="000000"/>
          <w:lang w:val="bg-BG"/>
        </w:rPr>
      </w:pPr>
      <w:r w:rsidRPr="00575316">
        <w:rPr>
          <w:rFonts w:cs="Arial"/>
          <w:b/>
          <w:bCs/>
          <w:color w:val="000000"/>
          <w:lang w:val="bg-BG"/>
        </w:rPr>
        <w:t xml:space="preserve">Доказване </w:t>
      </w:r>
      <w:r>
        <w:rPr>
          <w:rFonts w:cs="Arial"/>
          <w:b/>
          <w:bCs/>
          <w:color w:val="000000"/>
          <w:lang w:val="bg-BG"/>
        </w:rPr>
        <w:t>2</w:t>
      </w:r>
      <w:r w:rsidRPr="00575316">
        <w:rPr>
          <w:rFonts w:cs="Arial"/>
          <w:b/>
          <w:bCs/>
          <w:color w:val="000000"/>
          <w:lang w:val="bg-BG"/>
        </w:rPr>
        <w:t xml:space="preserve">: </w:t>
      </w:r>
    </w:p>
    <w:p w14:paraId="63FFBE47" w14:textId="0F682162" w:rsidR="00575316" w:rsidRPr="00575316" w:rsidRDefault="00575316" w:rsidP="00575316">
      <w:pPr>
        <w:pStyle w:val="BodyText"/>
        <w:numPr>
          <w:ilvl w:val="0"/>
          <w:numId w:val="36"/>
        </w:numPr>
        <w:spacing w:after="60" w:line="240" w:lineRule="auto"/>
        <w:rPr>
          <w:rFonts w:cs="Arial"/>
          <w:color w:val="000000"/>
          <w:lang w:val="bg-BG"/>
        </w:rPr>
      </w:pPr>
      <w:r w:rsidRPr="00575316">
        <w:rPr>
          <w:rFonts w:cs="Arial"/>
          <w:color w:val="000000"/>
          <w:lang w:val="bg-BG"/>
        </w:rPr>
        <w:t xml:space="preserve">Участникът, избран за изпълнител, преди подписване на договора, представя копие на валиден сертификат за внедрена система за управление на качеството по ISO 9001:2015 или еквивалент. Посочените сертификати  трябва да са в срок на валидност. </w:t>
      </w:r>
    </w:p>
    <w:p w14:paraId="64C0D1EC" w14:textId="67EE4C35" w:rsidR="00575316" w:rsidRPr="00376C3F" w:rsidRDefault="00575316" w:rsidP="00575316">
      <w:pPr>
        <w:pStyle w:val="BodyText"/>
        <w:spacing w:after="60" w:line="240" w:lineRule="auto"/>
        <w:ind w:left="284"/>
        <w:rPr>
          <w:rFonts w:cs="Arial"/>
          <w:color w:val="000000"/>
          <w:lang w:val="bg-BG"/>
        </w:rPr>
      </w:pPr>
      <w:r w:rsidRPr="00575316">
        <w:rPr>
          <w:rFonts w:cs="Arial"/>
          <w:b/>
          <w:bCs/>
          <w:color w:val="000000"/>
          <w:lang w:val="bg-BG"/>
        </w:rPr>
        <w:t>Забележка:</w:t>
      </w:r>
      <w:r w:rsidRPr="00575316">
        <w:rPr>
          <w:rFonts w:cs="Arial"/>
          <w:color w:val="000000"/>
          <w:lang w:val="bg-BG"/>
        </w:rPr>
        <w:t xml:space="preserve"> Възложителят ще приеме еквивалентни сертификати, издадени от органи, установени в други държави членки. Възложителят ще приеме и други доказателства за еквивалентни мерки за осигуряване на качеството, когато участникът не е имал достъп до такива сертификати или е нямал възможност да ги получи в съответните срокове по независещи от него причини. В този случай участникът трябва да е в състояние да докаже, че предлаганите мерки са еквивалентни на изискваните</w:t>
      </w:r>
      <w:r>
        <w:rPr>
          <w:rFonts w:cs="Arial"/>
          <w:color w:val="000000"/>
          <w:lang w:val="bg-BG"/>
        </w:rPr>
        <w:t>.</w:t>
      </w:r>
    </w:p>
    <w:p w14:paraId="34AC4095" w14:textId="3E2A89CC" w:rsidR="00575316" w:rsidRDefault="00575316" w:rsidP="00575316">
      <w:pPr>
        <w:pStyle w:val="BodyText"/>
        <w:numPr>
          <w:ilvl w:val="0"/>
          <w:numId w:val="32"/>
        </w:numPr>
        <w:tabs>
          <w:tab w:val="left" w:pos="567"/>
          <w:tab w:val="left" w:pos="851"/>
        </w:tabs>
        <w:spacing w:after="60" w:line="240" w:lineRule="auto"/>
        <w:ind w:left="284" w:firstLine="0"/>
        <w:rPr>
          <w:rFonts w:cs="Arial"/>
          <w:b/>
          <w:bCs/>
          <w:spacing w:val="0"/>
          <w:lang w:val="bg-BG"/>
        </w:rPr>
      </w:pPr>
      <w:r w:rsidRPr="00575316">
        <w:rPr>
          <w:rFonts w:cs="Arial"/>
          <w:b/>
          <w:bCs/>
          <w:spacing w:val="0"/>
          <w:lang w:val="bg-BG"/>
        </w:rPr>
        <w:lastRenderedPageBreak/>
        <w:t>Изисквания към техническото предложение на участниците, включително изискуеми към него документи и мостри:</w:t>
      </w:r>
    </w:p>
    <w:p w14:paraId="7B78C454" w14:textId="4183EFED" w:rsidR="00C50A63" w:rsidRPr="00C50A63" w:rsidRDefault="00C50A63" w:rsidP="00C50A63">
      <w:pPr>
        <w:pStyle w:val="BodyText"/>
        <w:tabs>
          <w:tab w:val="left" w:pos="567"/>
          <w:tab w:val="left" w:pos="851"/>
        </w:tabs>
        <w:spacing w:after="60"/>
        <w:ind w:left="284"/>
        <w:rPr>
          <w:rFonts w:cs="Arial"/>
          <w:spacing w:val="0"/>
          <w:lang w:val="bg-BG"/>
        </w:rPr>
      </w:pPr>
      <w:r w:rsidRPr="00C50A63">
        <w:rPr>
          <w:rFonts w:cs="Arial"/>
          <w:spacing w:val="0"/>
          <w:lang w:val="bg-BG"/>
        </w:rPr>
        <w:t>Оферта</w:t>
      </w:r>
      <w:r>
        <w:rPr>
          <w:rFonts w:cs="Arial"/>
          <w:spacing w:val="0"/>
          <w:lang w:val="bg-BG"/>
        </w:rPr>
        <w:t>та Ви трябва да</w:t>
      </w:r>
      <w:r w:rsidRPr="00C50A63">
        <w:rPr>
          <w:rFonts w:cs="Arial"/>
          <w:spacing w:val="0"/>
          <w:lang w:val="bg-BG"/>
        </w:rPr>
        <w:t xml:space="preserve"> включва:</w:t>
      </w:r>
    </w:p>
    <w:p w14:paraId="6310D6A1" w14:textId="5864E8CE" w:rsidR="00C50A63" w:rsidRPr="00C50A63" w:rsidRDefault="00C50A63" w:rsidP="00C50A63">
      <w:pPr>
        <w:pStyle w:val="BodyText"/>
        <w:tabs>
          <w:tab w:val="left" w:pos="567"/>
          <w:tab w:val="left" w:pos="851"/>
        </w:tabs>
        <w:spacing w:after="60"/>
        <w:ind w:left="284"/>
        <w:rPr>
          <w:rFonts w:cs="Arial"/>
          <w:spacing w:val="0"/>
          <w:lang w:val="bg-BG"/>
        </w:rPr>
      </w:pPr>
      <w:r>
        <w:rPr>
          <w:rFonts w:cs="Arial"/>
          <w:spacing w:val="0"/>
          <w:lang w:val="bg-BG"/>
        </w:rPr>
        <w:t xml:space="preserve">6.1. </w:t>
      </w:r>
      <w:r w:rsidRPr="00C50A63">
        <w:rPr>
          <w:rFonts w:cs="Arial"/>
          <w:spacing w:val="0"/>
          <w:lang w:val="bg-BG"/>
        </w:rPr>
        <w:t>Техническо предложение (по образец) за изпълнение на поръчката в съответствие с техническите спецификации и изискванията на Възложителя.</w:t>
      </w:r>
    </w:p>
    <w:p w14:paraId="1806D21B" w14:textId="5B13741E" w:rsidR="00C50A63" w:rsidRPr="00C50A63" w:rsidRDefault="00C50A63" w:rsidP="00C50A63">
      <w:pPr>
        <w:pStyle w:val="BodyText"/>
        <w:tabs>
          <w:tab w:val="left" w:pos="567"/>
          <w:tab w:val="left" w:pos="851"/>
        </w:tabs>
        <w:spacing w:after="60"/>
        <w:ind w:left="284"/>
        <w:rPr>
          <w:rFonts w:cs="Arial"/>
          <w:spacing w:val="0"/>
          <w:lang w:val="bg-BG"/>
        </w:rPr>
      </w:pPr>
      <w:r>
        <w:rPr>
          <w:rFonts w:cs="Arial"/>
          <w:spacing w:val="0"/>
          <w:lang w:val="bg-BG"/>
        </w:rPr>
        <w:t xml:space="preserve">6.2. </w:t>
      </w:r>
      <w:r w:rsidRPr="00C50A63">
        <w:rPr>
          <w:rFonts w:cs="Arial"/>
          <w:spacing w:val="0"/>
          <w:lang w:val="bg-BG"/>
        </w:rPr>
        <w:t>Попълнени Таблици срокове</w:t>
      </w:r>
      <w:r w:rsidR="00762CA1">
        <w:rPr>
          <w:rFonts w:cs="Arial"/>
          <w:spacing w:val="0"/>
          <w:lang w:val="bg-BG"/>
        </w:rPr>
        <w:t xml:space="preserve"> (Приложение </w:t>
      </w:r>
      <w:r w:rsidR="00FA7C50">
        <w:rPr>
          <w:rFonts w:cs="Arial"/>
          <w:spacing w:val="0"/>
          <w:lang w:val="bg-BG"/>
        </w:rPr>
        <w:t>1</w:t>
      </w:r>
      <w:r w:rsidR="00762CA1">
        <w:rPr>
          <w:rFonts w:cs="Arial"/>
          <w:spacing w:val="0"/>
          <w:lang w:val="bg-BG"/>
        </w:rPr>
        <w:t>)</w:t>
      </w:r>
      <w:r w:rsidRPr="00C50A63">
        <w:rPr>
          <w:rFonts w:cs="Arial"/>
          <w:spacing w:val="0"/>
          <w:lang w:val="bg-BG"/>
        </w:rPr>
        <w:t>, с попълнени на всички предвидени за попълване места, като в тях е необходимо да се въведе следната информация:</w:t>
      </w:r>
    </w:p>
    <w:p w14:paraId="58B713B3" w14:textId="288F00E6" w:rsidR="00C50A63" w:rsidRPr="00C50A63" w:rsidRDefault="00C50A63" w:rsidP="00C50A63">
      <w:pPr>
        <w:pStyle w:val="BodyText"/>
        <w:tabs>
          <w:tab w:val="left" w:pos="567"/>
          <w:tab w:val="left" w:pos="851"/>
        </w:tabs>
        <w:spacing w:after="60"/>
        <w:ind w:left="284"/>
        <w:rPr>
          <w:rFonts w:cs="Arial"/>
          <w:spacing w:val="0"/>
          <w:lang w:val="bg-BG"/>
        </w:rPr>
      </w:pPr>
      <w:r>
        <w:rPr>
          <w:rFonts w:cs="Arial"/>
          <w:spacing w:val="0"/>
          <w:lang w:val="bg-BG"/>
        </w:rPr>
        <w:t>6.</w:t>
      </w:r>
      <w:r w:rsidRPr="00C50A63">
        <w:rPr>
          <w:rFonts w:cs="Arial"/>
          <w:spacing w:val="0"/>
          <w:lang w:val="bg-BG"/>
        </w:rPr>
        <w:t>2.1.</w:t>
      </w:r>
      <w:r w:rsidRPr="00C50A63">
        <w:rPr>
          <w:rFonts w:cs="Arial"/>
          <w:spacing w:val="0"/>
          <w:lang w:val="bg-BG"/>
        </w:rPr>
        <w:tab/>
        <w:t xml:space="preserve">В Таблица срокове №1 </w:t>
      </w:r>
      <w:r>
        <w:rPr>
          <w:rFonts w:cs="Arial"/>
          <w:spacing w:val="0"/>
          <w:lang w:val="bg-BG"/>
        </w:rPr>
        <w:t xml:space="preserve">- </w:t>
      </w:r>
      <w:r w:rsidRPr="00C50A63">
        <w:rPr>
          <w:rFonts w:cs="Arial"/>
          <w:spacing w:val="0"/>
          <w:lang w:val="bg-BG"/>
        </w:rPr>
        <w:t xml:space="preserve">Участникът посочва Гаранционен срок на сервизните дейности. </w:t>
      </w:r>
    </w:p>
    <w:p w14:paraId="00F52989" w14:textId="6DAEAFE1" w:rsidR="00C50A63" w:rsidRPr="00C50A63" w:rsidRDefault="00C50A63" w:rsidP="00C50A63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spacing w:val="0"/>
          <w:lang w:val="bg-BG"/>
        </w:rPr>
      </w:pPr>
      <w:r>
        <w:rPr>
          <w:rFonts w:cs="Arial"/>
          <w:spacing w:val="0"/>
          <w:lang w:val="bg-BG"/>
        </w:rPr>
        <w:t>6.</w:t>
      </w:r>
      <w:r w:rsidRPr="00C50A63">
        <w:rPr>
          <w:rFonts w:cs="Arial"/>
          <w:spacing w:val="0"/>
          <w:lang w:val="bg-BG"/>
        </w:rPr>
        <w:t>2.2.</w:t>
      </w:r>
      <w:r w:rsidRPr="00C50A63">
        <w:rPr>
          <w:rFonts w:cs="Arial"/>
          <w:spacing w:val="0"/>
          <w:lang w:val="bg-BG"/>
        </w:rPr>
        <w:tab/>
        <w:t xml:space="preserve">В Таблица срокове №2 и Таблица срокове №3 </w:t>
      </w:r>
      <w:r>
        <w:rPr>
          <w:rFonts w:cs="Arial"/>
          <w:spacing w:val="0"/>
          <w:lang w:val="bg-BG"/>
        </w:rPr>
        <w:t xml:space="preserve">- </w:t>
      </w:r>
      <w:r w:rsidRPr="00C50A63">
        <w:rPr>
          <w:rFonts w:cs="Arial"/>
          <w:spacing w:val="0"/>
          <w:lang w:val="bg-BG"/>
        </w:rPr>
        <w:t>Участникът посочва производител или марка, модел (където е приложимо) и основни техническите характеристики на консумативите/резервните части, за всяка една позиция</w:t>
      </w:r>
      <w:r>
        <w:rPr>
          <w:rFonts w:cs="Arial"/>
          <w:spacing w:val="0"/>
          <w:lang w:val="bg-BG"/>
        </w:rPr>
        <w:t xml:space="preserve">, </w:t>
      </w:r>
      <w:r w:rsidR="00762CA1">
        <w:rPr>
          <w:rFonts w:cs="Arial"/>
          <w:spacing w:val="0"/>
          <w:lang w:val="bg-BG"/>
        </w:rPr>
        <w:t>включително</w:t>
      </w:r>
      <w:r w:rsidRPr="00C50A63">
        <w:rPr>
          <w:rFonts w:cs="Arial"/>
          <w:spacing w:val="0"/>
          <w:lang w:val="bg-BG"/>
        </w:rPr>
        <w:t xml:space="preserve"> каталожен номер (където е приложимо), гаранционен срок в месеци</w:t>
      </w:r>
      <w:r>
        <w:rPr>
          <w:rFonts w:cs="Arial"/>
          <w:spacing w:val="0"/>
          <w:lang w:val="bg-BG"/>
        </w:rPr>
        <w:t xml:space="preserve"> и</w:t>
      </w:r>
      <w:r w:rsidRPr="00C50A63">
        <w:rPr>
          <w:rFonts w:cs="Arial"/>
          <w:spacing w:val="0"/>
          <w:lang w:val="bg-BG"/>
        </w:rPr>
        <w:t xml:space="preserve"> срок на доставка в работни дни.</w:t>
      </w:r>
    </w:p>
    <w:p w14:paraId="012A5EFE" w14:textId="700B3DD6" w:rsidR="00834C0E" w:rsidRPr="00762CA1" w:rsidRDefault="00762CA1" w:rsidP="00B60997">
      <w:pPr>
        <w:pStyle w:val="BodyText"/>
        <w:numPr>
          <w:ilvl w:val="0"/>
          <w:numId w:val="32"/>
        </w:numPr>
        <w:tabs>
          <w:tab w:val="left" w:pos="567"/>
          <w:tab w:val="left" w:pos="851"/>
        </w:tabs>
        <w:spacing w:after="60" w:line="240" w:lineRule="auto"/>
        <w:ind w:left="284" w:firstLine="0"/>
        <w:rPr>
          <w:rFonts w:cs="Arial"/>
          <w:spacing w:val="0"/>
          <w:lang w:val="bg-BG"/>
        </w:rPr>
      </w:pPr>
      <w:r w:rsidRPr="00762CA1">
        <w:rPr>
          <w:rFonts w:cs="Arial"/>
          <w:b/>
          <w:lang w:val="bg-BG"/>
        </w:rPr>
        <w:t>Ценови таблици и количествени сметки</w:t>
      </w:r>
      <w:r>
        <w:rPr>
          <w:rFonts w:cs="Arial"/>
          <w:b/>
          <w:lang w:val="bg-BG"/>
        </w:rPr>
        <w:t xml:space="preserve"> (Приложение </w:t>
      </w:r>
      <w:r w:rsidR="00FA7C50">
        <w:rPr>
          <w:rFonts w:cs="Arial"/>
          <w:b/>
          <w:lang w:val="bg-BG"/>
        </w:rPr>
        <w:t>2</w:t>
      </w:r>
      <w:r>
        <w:rPr>
          <w:rFonts w:cs="Arial"/>
          <w:b/>
          <w:lang w:val="bg-BG"/>
        </w:rPr>
        <w:t>).</w:t>
      </w:r>
    </w:p>
    <w:p w14:paraId="67ACBF75" w14:textId="30C8658F" w:rsidR="00762CA1" w:rsidRDefault="00762CA1" w:rsidP="00B60997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bCs/>
          <w:lang w:val="bg-BG"/>
        </w:rPr>
      </w:pPr>
      <w:r>
        <w:rPr>
          <w:rFonts w:cs="Arial"/>
          <w:bCs/>
          <w:lang w:val="bg-BG"/>
        </w:rPr>
        <w:t xml:space="preserve">7.1. В </w:t>
      </w:r>
      <w:r w:rsidRPr="00762CA1">
        <w:rPr>
          <w:rFonts w:cs="Arial"/>
          <w:bCs/>
          <w:lang w:val="bg-BG"/>
        </w:rPr>
        <w:t>Ценова таблица №1</w:t>
      </w:r>
      <w:r>
        <w:rPr>
          <w:rFonts w:cs="Arial"/>
          <w:bCs/>
          <w:lang w:val="bg-BG"/>
        </w:rPr>
        <w:t xml:space="preserve"> се попълва </w:t>
      </w:r>
      <w:r w:rsidR="00B60997">
        <w:rPr>
          <w:rFonts w:cs="Arial"/>
          <w:bCs/>
          <w:lang w:val="bg-BG"/>
        </w:rPr>
        <w:t>предложение за ц</w:t>
      </w:r>
      <w:r w:rsidR="00B60997" w:rsidRPr="00B60997">
        <w:rPr>
          <w:rFonts w:cs="Arial"/>
          <w:bCs/>
          <w:lang w:val="bg-BG"/>
        </w:rPr>
        <w:t>ената за сервизен час при сервизното обслужване</w:t>
      </w:r>
      <w:r w:rsidR="00B60997">
        <w:rPr>
          <w:rFonts w:cs="Arial"/>
          <w:bCs/>
          <w:lang w:val="bg-BG"/>
        </w:rPr>
        <w:t>.</w:t>
      </w:r>
    </w:p>
    <w:p w14:paraId="53F8438F" w14:textId="77777777" w:rsidR="00B60997" w:rsidRDefault="00B60997" w:rsidP="00B60997">
      <w:pPr>
        <w:pStyle w:val="BodyText"/>
        <w:numPr>
          <w:ilvl w:val="0"/>
          <w:numId w:val="37"/>
        </w:numPr>
        <w:tabs>
          <w:tab w:val="left" w:pos="567"/>
          <w:tab w:val="left" w:pos="851"/>
        </w:tabs>
        <w:spacing w:after="60" w:line="240" w:lineRule="auto"/>
        <w:ind w:left="794" w:hanging="340"/>
        <w:rPr>
          <w:rFonts w:cs="Arial"/>
          <w:bCs/>
          <w:spacing w:val="0"/>
          <w:lang w:val="bg-BG"/>
        </w:rPr>
      </w:pPr>
      <w:r w:rsidRPr="00B60997">
        <w:rPr>
          <w:rFonts w:cs="Arial"/>
          <w:bCs/>
          <w:spacing w:val="0"/>
          <w:lang w:val="bg-BG"/>
        </w:rPr>
        <w:t xml:space="preserve">В цената за сервизен час са включени всички разходи на труд за възстановяване на функционалната годност на системите за срока на договора, както и всички разходи и такси, дължими от Възложителя. </w:t>
      </w:r>
    </w:p>
    <w:p w14:paraId="23402CB8" w14:textId="05FF5828" w:rsidR="00B60997" w:rsidRDefault="00B60997" w:rsidP="00B60997">
      <w:pPr>
        <w:pStyle w:val="BodyText"/>
        <w:numPr>
          <w:ilvl w:val="0"/>
          <w:numId w:val="37"/>
        </w:numPr>
        <w:tabs>
          <w:tab w:val="left" w:pos="567"/>
          <w:tab w:val="left" w:pos="851"/>
        </w:tabs>
        <w:spacing w:after="60" w:line="240" w:lineRule="auto"/>
        <w:ind w:left="794" w:hanging="340"/>
        <w:rPr>
          <w:rFonts w:cs="Arial"/>
          <w:bCs/>
          <w:spacing w:val="0"/>
          <w:lang w:val="bg-BG"/>
        </w:rPr>
      </w:pPr>
      <w:r w:rsidRPr="00B60997">
        <w:rPr>
          <w:rFonts w:cs="Arial"/>
          <w:bCs/>
          <w:spacing w:val="0"/>
          <w:lang w:val="bg-BG"/>
        </w:rPr>
        <w:t>В цената не са включени стойностите на резервните части и/или консумативите, заявявани от Възложителя във връзка с изпълнението на договора.</w:t>
      </w:r>
    </w:p>
    <w:p w14:paraId="2FE5A6DC" w14:textId="09E63AA8" w:rsidR="00B60997" w:rsidRDefault="00B60997" w:rsidP="00B60997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bCs/>
          <w:spacing w:val="0"/>
          <w:lang w:val="bg-BG"/>
        </w:rPr>
      </w:pPr>
      <w:r>
        <w:rPr>
          <w:rFonts w:cs="Arial"/>
          <w:bCs/>
          <w:spacing w:val="0"/>
          <w:lang w:val="bg-BG"/>
        </w:rPr>
        <w:t>7.2. В Ценови таблици №2 и №3 се попълват предложените от участника цени за описаните р</w:t>
      </w:r>
      <w:r w:rsidRPr="00B60997">
        <w:rPr>
          <w:rFonts w:cs="Arial"/>
          <w:bCs/>
          <w:spacing w:val="0"/>
          <w:lang w:val="bg-BG"/>
        </w:rPr>
        <w:t>езервни части и консумати</w:t>
      </w:r>
      <w:r>
        <w:rPr>
          <w:rFonts w:cs="Arial"/>
          <w:bCs/>
          <w:spacing w:val="0"/>
          <w:lang w:val="bg-BG"/>
        </w:rPr>
        <w:t>ви.</w:t>
      </w:r>
    </w:p>
    <w:p w14:paraId="1D870214" w14:textId="77777777" w:rsidR="00B60997" w:rsidRDefault="00B60997" w:rsidP="00B60997">
      <w:pPr>
        <w:pStyle w:val="BodyText"/>
        <w:numPr>
          <w:ilvl w:val="0"/>
          <w:numId w:val="38"/>
        </w:numPr>
        <w:tabs>
          <w:tab w:val="left" w:pos="567"/>
          <w:tab w:val="left" w:pos="851"/>
        </w:tabs>
        <w:spacing w:after="60" w:line="240" w:lineRule="auto"/>
        <w:ind w:left="794" w:hanging="340"/>
        <w:rPr>
          <w:rFonts w:cs="Arial"/>
          <w:bCs/>
          <w:spacing w:val="0"/>
          <w:lang w:val="bg-BG"/>
        </w:rPr>
      </w:pPr>
      <w:r w:rsidRPr="00B60997">
        <w:rPr>
          <w:rFonts w:cs="Arial"/>
          <w:bCs/>
          <w:spacing w:val="0"/>
          <w:lang w:val="bg-BG"/>
        </w:rPr>
        <w:t xml:space="preserve">Цените трябва да включват: 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</w:p>
    <w:p w14:paraId="5548ECA6" w14:textId="5CB80B3D" w:rsidR="00B60997" w:rsidRDefault="00B60997" w:rsidP="00B60997">
      <w:pPr>
        <w:pStyle w:val="BodyText"/>
        <w:numPr>
          <w:ilvl w:val="0"/>
          <w:numId w:val="38"/>
        </w:numPr>
        <w:tabs>
          <w:tab w:val="left" w:pos="567"/>
          <w:tab w:val="left" w:pos="851"/>
        </w:tabs>
        <w:spacing w:after="60" w:line="240" w:lineRule="auto"/>
        <w:ind w:left="794" w:hanging="340"/>
        <w:rPr>
          <w:rFonts w:cs="Arial"/>
          <w:bCs/>
          <w:spacing w:val="0"/>
          <w:lang w:val="bg-BG"/>
        </w:rPr>
      </w:pPr>
      <w:r w:rsidRPr="00B60997">
        <w:rPr>
          <w:rFonts w:cs="Arial"/>
          <w:bCs/>
          <w:spacing w:val="0"/>
          <w:lang w:val="bg-BG"/>
        </w:rPr>
        <w:t>Изразете цените в евро без ДДС и до втория знак след десетичната запетая.</w:t>
      </w:r>
    </w:p>
    <w:p w14:paraId="1B94034C" w14:textId="2424C706" w:rsidR="00B60997" w:rsidRDefault="00B60997" w:rsidP="00B60997">
      <w:pPr>
        <w:pStyle w:val="BodyText"/>
        <w:numPr>
          <w:ilvl w:val="0"/>
          <w:numId w:val="38"/>
        </w:numPr>
        <w:tabs>
          <w:tab w:val="left" w:pos="567"/>
          <w:tab w:val="left" w:pos="851"/>
        </w:tabs>
        <w:spacing w:after="60" w:line="240" w:lineRule="auto"/>
        <w:ind w:left="794" w:hanging="340"/>
        <w:rPr>
          <w:rFonts w:cs="Arial"/>
          <w:bCs/>
          <w:spacing w:val="0"/>
          <w:lang w:val="bg-BG"/>
        </w:rPr>
      </w:pPr>
      <w:r w:rsidRPr="00B60997">
        <w:rPr>
          <w:rFonts w:cs="Arial"/>
          <w:bCs/>
          <w:spacing w:val="0"/>
          <w:lang w:val="bg-BG"/>
        </w:rPr>
        <w:t>На Доставчика не са гарантирани количества на поръчваните стоки</w:t>
      </w:r>
      <w:r>
        <w:rPr>
          <w:rFonts w:cs="Arial"/>
          <w:bCs/>
          <w:spacing w:val="0"/>
          <w:lang w:val="bg-BG"/>
        </w:rPr>
        <w:t>.</w:t>
      </w:r>
    </w:p>
    <w:p w14:paraId="602F6CCD" w14:textId="77777777" w:rsidR="00B87844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  <w:r w:rsidR="0006167A">
        <w:rPr>
          <w:rFonts w:ascii="Arial" w:hAnsi="Arial" w:cs="Arial"/>
          <w:sz w:val="20"/>
          <w:szCs w:val="20"/>
          <w:lang w:val="bg-BG"/>
        </w:rPr>
        <w:t>.</w:t>
      </w:r>
    </w:p>
    <w:p w14:paraId="166DE252" w14:textId="70CD2049" w:rsidR="0006167A" w:rsidRPr="00CB18B2" w:rsidRDefault="0006167A" w:rsidP="00CB18B2">
      <w:pPr>
        <w:pStyle w:val="ListParagraph"/>
        <w:numPr>
          <w:ilvl w:val="1"/>
          <w:numId w:val="39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t xml:space="preserve">За изпълнението на дейностите се изисква сключването на допълнително стандартно споразумение по БЗР – Приложение </w:t>
      </w:r>
      <w:r w:rsidR="00FA7C50">
        <w:rPr>
          <w:rFonts w:ascii="Arial" w:hAnsi="Arial" w:cs="Arial"/>
          <w:sz w:val="20"/>
          <w:szCs w:val="20"/>
        </w:rPr>
        <w:t>3</w:t>
      </w:r>
      <w:r w:rsidRPr="00CB18B2">
        <w:rPr>
          <w:rFonts w:ascii="Arial" w:hAnsi="Arial" w:cs="Arial"/>
          <w:sz w:val="20"/>
          <w:szCs w:val="20"/>
        </w:rPr>
        <w:t xml:space="preserve"> към поканата.</w:t>
      </w:r>
    </w:p>
    <w:p w14:paraId="10902235" w14:textId="77777777" w:rsidR="008F580F" w:rsidRPr="008F580F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047D0A7F" w14:textId="77777777" w:rsidR="00C77CCD" w:rsidRDefault="00C57DF5" w:rsidP="00CB18B2">
      <w:pPr>
        <w:tabs>
          <w:tab w:val="left" w:pos="709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60363F">
        <w:rPr>
          <w:rFonts w:ascii="Arial" w:hAnsi="Arial" w:cs="Arial"/>
          <w:bCs/>
          <w:i/>
          <w:i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4C08694D" w14:textId="77777777" w:rsidR="000830F0" w:rsidRPr="00F93620" w:rsidRDefault="00A2097F" w:rsidP="00CB18B2">
      <w:pPr>
        <w:tabs>
          <w:tab w:val="left" w:pos="709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79BC8D87" w14:textId="77777777" w:rsidR="005B053B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056B93D1" w14:textId="77777777" w:rsidR="00CB18B2" w:rsidRDefault="005B053B" w:rsidP="00CB18B2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5B053B">
        <w:rPr>
          <w:rFonts w:ascii="Arial" w:hAnsi="Arial" w:cs="Arial"/>
          <w:sz w:val="20"/>
          <w:szCs w:val="20"/>
          <w:lang w:val="bg-BG"/>
        </w:rPr>
        <w:t>Икономически най-изгодната оферта ще се определи по критерий за възлагане „най-ниска цена“. Комисията ще извърши оценка на ценовите предложения от офертите</w:t>
      </w:r>
      <w:r w:rsidR="00CB18B2">
        <w:rPr>
          <w:rFonts w:ascii="Arial" w:hAnsi="Arial" w:cs="Arial"/>
          <w:sz w:val="20"/>
          <w:szCs w:val="20"/>
          <w:lang w:val="bg-BG"/>
        </w:rPr>
        <w:t xml:space="preserve"> по </w:t>
      </w:r>
      <w:r w:rsidR="00CB18B2" w:rsidRPr="00CB18B2">
        <w:rPr>
          <w:rFonts w:ascii="Arial" w:hAnsi="Arial" w:cs="Arial"/>
          <w:sz w:val="20"/>
          <w:szCs w:val="20"/>
          <w:lang w:val="bg-BG"/>
        </w:rPr>
        <w:t>следната методика за оценка</w:t>
      </w:r>
      <w:r w:rsidR="00CB18B2">
        <w:rPr>
          <w:rFonts w:ascii="Arial" w:hAnsi="Arial" w:cs="Arial"/>
          <w:sz w:val="20"/>
          <w:szCs w:val="20"/>
          <w:lang w:val="bg-BG"/>
        </w:rPr>
        <w:t>:</w:t>
      </w:r>
    </w:p>
    <w:p w14:paraId="6A6E172E" w14:textId="77777777" w:rsidR="00CB18B2" w:rsidRDefault="00CB18B2" w:rsidP="00CB18B2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CB18B2">
        <w:rPr>
          <w:rFonts w:ascii="Arial" w:hAnsi="Arial" w:cs="Arial"/>
          <w:b/>
          <w:bCs/>
          <w:sz w:val="20"/>
          <w:szCs w:val="20"/>
          <w:lang w:val="bg-BG"/>
        </w:rPr>
        <w:t>Оценка по показател П1: „Цена за един сервизен час”, с максимален брой точки 60.</w:t>
      </w:r>
    </w:p>
    <w:p w14:paraId="3FBB2494" w14:textId="18ED80AC" w:rsidR="00CB18B2" w:rsidRPr="00CB18B2" w:rsidRDefault="00CB18B2" w:rsidP="00CB18B2">
      <w:pPr>
        <w:pStyle w:val="ListParagraph"/>
        <w:numPr>
          <w:ilvl w:val="0"/>
          <w:numId w:val="40"/>
        </w:numPr>
        <w:tabs>
          <w:tab w:val="left" w:pos="567"/>
        </w:tabs>
        <w:spacing w:after="60"/>
        <w:ind w:left="794" w:hanging="340"/>
        <w:jc w:val="both"/>
        <w:outlineLvl w:val="0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t xml:space="preserve">Оценяваното ценово предложение на всеки допуснат участник е предложената „Цена за един сервизен час (в евро без ДДС)“ от Ценова таблица №1. </w:t>
      </w:r>
    </w:p>
    <w:p w14:paraId="0977250D" w14:textId="77777777" w:rsidR="00CB18B2" w:rsidRPr="00CB18B2" w:rsidRDefault="00CB18B2" w:rsidP="00CB18B2">
      <w:pPr>
        <w:pStyle w:val="ListParagraph"/>
        <w:numPr>
          <w:ilvl w:val="0"/>
          <w:numId w:val="40"/>
        </w:numPr>
        <w:tabs>
          <w:tab w:val="left" w:pos="567"/>
        </w:tabs>
        <w:spacing w:after="60"/>
        <w:ind w:left="794" w:hanging="340"/>
        <w:jc w:val="both"/>
        <w:outlineLvl w:val="0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t xml:space="preserve">Участникът с най-ниско ценово предложение получава 60 точки. </w:t>
      </w:r>
    </w:p>
    <w:p w14:paraId="396DD62B" w14:textId="45BDFC59" w:rsidR="00CB18B2" w:rsidRPr="00CB18B2" w:rsidRDefault="00CB18B2" w:rsidP="00CB18B2">
      <w:pPr>
        <w:pStyle w:val="ListParagraph"/>
        <w:numPr>
          <w:ilvl w:val="0"/>
          <w:numId w:val="40"/>
        </w:numPr>
        <w:tabs>
          <w:tab w:val="left" w:pos="567"/>
        </w:tabs>
        <w:spacing w:after="60"/>
        <w:ind w:left="794" w:hanging="340"/>
        <w:jc w:val="both"/>
        <w:outlineLvl w:val="0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t>Оценката на всеки от останалите допуснати участници се получава като най-ниското ценово предложение се умножи по 60 точки и резултатът се раздели на предложението на съответния участник и частното се закръгли до втория знак след десетичната запетая.</w:t>
      </w:r>
    </w:p>
    <w:p w14:paraId="2B40D07B" w14:textId="77777777" w:rsidR="00CB18B2" w:rsidRPr="00CB18B2" w:rsidRDefault="00CB18B2" w:rsidP="00CB18B2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b/>
          <w:bCs/>
          <w:sz w:val="20"/>
          <w:szCs w:val="20"/>
          <w:lang w:val="bg-BG"/>
        </w:rPr>
      </w:pPr>
      <w:r w:rsidRPr="00CB18B2">
        <w:rPr>
          <w:rFonts w:ascii="Arial" w:hAnsi="Arial" w:cs="Arial"/>
          <w:b/>
          <w:bCs/>
          <w:sz w:val="20"/>
          <w:szCs w:val="20"/>
          <w:lang w:val="bg-BG"/>
        </w:rPr>
        <w:t>Оценка по показател П2: „Цени на резервни части/консумативи“, с максимален брой точки 40.</w:t>
      </w:r>
    </w:p>
    <w:p w14:paraId="708ABE72" w14:textId="77777777" w:rsidR="00CB18B2" w:rsidRPr="00CB18B2" w:rsidRDefault="00CB18B2" w:rsidP="00CB18B2">
      <w:pPr>
        <w:pStyle w:val="ListParagraph"/>
        <w:numPr>
          <w:ilvl w:val="0"/>
          <w:numId w:val="41"/>
        </w:numPr>
        <w:tabs>
          <w:tab w:val="left" w:pos="567"/>
        </w:tabs>
        <w:spacing w:after="60"/>
        <w:ind w:left="794" w:hanging="340"/>
        <w:jc w:val="both"/>
        <w:outlineLvl w:val="0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t xml:space="preserve">Оценяваното ценово предложение на всеки допуснат участник е получената стойност в клетка „Общо“, която е сума от всички цени в колона „Ед. цена в евро без ДДС за единица/брой в разфасовка/опаковка (до втори знак след десетичната запетая) (за целите на оценка)“ на резервните части и консумативи от Ценова таблица № 2. </w:t>
      </w:r>
    </w:p>
    <w:p w14:paraId="15B90B5C" w14:textId="77777777" w:rsidR="00CB18B2" w:rsidRPr="00CB18B2" w:rsidRDefault="00CB18B2" w:rsidP="00CB18B2">
      <w:pPr>
        <w:pStyle w:val="ListParagraph"/>
        <w:numPr>
          <w:ilvl w:val="0"/>
          <w:numId w:val="41"/>
        </w:numPr>
        <w:tabs>
          <w:tab w:val="left" w:pos="567"/>
        </w:tabs>
        <w:spacing w:after="60"/>
        <w:ind w:left="794" w:hanging="340"/>
        <w:jc w:val="both"/>
        <w:outlineLvl w:val="0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t xml:space="preserve">Участникът с най-нисък общ сбор в клетка „Общо“ получава 40 точки. </w:t>
      </w:r>
      <w:r w:rsidRPr="00CB18B2">
        <w:rPr>
          <w:rFonts w:ascii="Arial" w:hAnsi="Arial" w:cs="Arial"/>
          <w:sz w:val="20"/>
          <w:szCs w:val="20"/>
        </w:rPr>
        <w:tab/>
      </w:r>
    </w:p>
    <w:p w14:paraId="518E7D16" w14:textId="669760F2" w:rsidR="005B053B" w:rsidRPr="00CB18B2" w:rsidRDefault="00CB18B2" w:rsidP="00CB18B2">
      <w:pPr>
        <w:pStyle w:val="ListParagraph"/>
        <w:numPr>
          <w:ilvl w:val="0"/>
          <w:numId w:val="41"/>
        </w:numPr>
        <w:tabs>
          <w:tab w:val="left" w:pos="567"/>
        </w:tabs>
        <w:spacing w:after="60"/>
        <w:ind w:left="794" w:hanging="340"/>
        <w:jc w:val="both"/>
        <w:outlineLvl w:val="0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lastRenderedPageBreak/>
        <w:t>Оценката на всеки от останалите допуснати участници се получава като най-ниският общ сбор в клетка „Общо“ се умножи по 40 точки и резултатът се раздели на предложението на съответния участник и частното се закръгли до втория знак след десетичната запетая</w:t>
      </w:r>
      <w:r w:rsidR="005B053B" w:rsidRPr="00CB18B2">
        <w:rPr>
          <w:rFonts w:ascii="Arial" w:hAnsi="Arial" w:cs="Arial"/>
          <w:sz w:val="20"/>
          <w:szCs w:val="20"/>
        </w:rPr>
        <w:t>.</w:t>
      </w:r>
    </w:p>
    <w:p w14:paraId="163E495D" w14:textId="77777777" w:rsidR="00CB18B2" w:rsidRPr="00CB18B2" w:rsidRDefault="00CB18B2" w:rsidP="00CB18B2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CB18B2">
        <w:rPr>
          <w:rFonts w:ascii="Arial" w:hAnsi="Arial" w:cs="Arial"/>
          <w:sz w:val="20"/>
          <w:szCs w:val="20"/>
          <w:lang w:val="bg-BG"/>
        </w:rPr>
        <w:t>Крайната оценка на предложенията се получава по формулата: КО=П1+П2.</w:t>
      </w:r>
    </w:p>
    <w:p w14:paraId="6E91415C" w14:textId="77777777" w:rsidR="00CB18B2" w:rsidRPr="00CB18B2" w:rsidRDefault="00CB18B2" w:rsidP="00CB18B2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CB18B2">
        <w:rPr>
          <w:rFonts w:ascii="Arial" w:hAnsi="Arial" w:cs="Arial"/>
          <w:sz w:val="20"/>
          <w:szCs w:val="20"/>
          <w:lang w:val="bg-BG"/>
        </w:rPr>
        <w:t xml:space="preserve">Максималният брой точки на крайната оценка е 100. </w:t>
      </w:r>
    </w:p>
    <w:p w14:paraId="0AC48FEC" w14:textId="08992A6A" w:rsidR="00CB18B2" w:rsidRDefault="00CB18B2" w:rsidP="00CB18B2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CB18B2">
        <w:rPr>
          <w:rFonts w:ascii="Arial" w:hAnsi="Arial" w:cs="Arial"/>
          <w:sz w:val="20"/>
          <w:szCs w:val="20"/>
          <w:lang w:val="bg-BG"/>
        </w:rPr>
        <w:t>На първо място се класира участникът, получил най-много точки, а  останалите участници ще бъдат класирани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Pr="00CB18B2">
        <w:rPr>
          <w:rFonts w:ascii="Arial" w:hAnsi="Arial" w:cs="Arial"/>
          <w:sz w:val="20"/>
          <w:szCs w:val="20"/>
          <w:lang w:val="bg-BG"/>
        </w:rPr>
        <w:t xml:space="preserve">съобразно получените </w:t>
      </w:r>
      <w:r>
        <w:rPr>
          <w:rFonts w:ascii="Arial" w:hAnsi="Arial" w:cs="Arial"/>
          <w:sz w:val="20"/>
          <w:szCs w:val="20"/>
          <w:lang w:val="bg-BG"/>
        </w:rPr>
        <w:t>по настоящата методология оценки и</w:t>
      </w:r>
      <w:r w:rsidRPr="00CB18B2">
        <w:rPr>
          <w:rFonts w:ascii="Arial" w:hAnsi="Arial" w:cs="Arial"/>
          <w:sz w:val="20"/>
          <w:szCs w:val="20"/>
          <w:lang w:val="bg-BG"/>
        </w:rPr>
        <w:t xml:space="preserve"> в низходящ ред. Получените резултати от оценката са единствено за целите на  оценката.</w:t>
      </w:r>
    </w:p>
    <w:p w14:paraId="76FCD030" w14:textId="44535F3E" w:rsidR="00CB18B2" w:rsidRDefault="00CB18B2" w:rsidP="00CB18B2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CB18B2">
        <w:rPr>
          <w:rFonts w:ascii="Arial" w:hAnsi="Arial" w:cs="Arial"/>
          <w:sz w:val="20"/>
          <w:szCs w:val="20"/>
          <w:lang w:val="bg-BG"/>
        </w:rPr>
        <w:t>Ценова таблица № 3 няма да се оценява.</w:t>
      </w:r>
    </w:p>
    <w:p w14:paraId="273624E1" w14:textId="77777777" w:rsidR="00C57DF5" w:rsidRPr="007462EA" w:rsidRDefault="00C57DF5" w:rsidP="00CB18B2">
      <w:pPr>
        <w:numPr>
          <w:ilvl w:val="0"/>
          <w:numId w:val="32"/>
        </w:numPr>
        <w:tabs>
          <w:tab w:val="left" w:pos="567"/>
        </w:tabs>
        <w:spacing w:after="120"/>
        <w:ind w:left="284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633185CE" w14:textId="77777777" w:rsidR="007462EA" w:rsidRDefault="007462EA" w:rsidP="00CB18B2">
      <w:pPr>
        <w:numPr>
          <w:ilvl w:val="0"/>
          <w:numId w:val="32"/>
        </w:numPr>
        <w:tabs>
          <w:tab w:val="left" w:pos="567"/>
        </w:tabs>
        <w:spacing w:after="120"/>
        <w:ind w:left="284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462EA">
        <w:rPr>
          <w:rFonts w:ascii="Arial" w:hAnsi="Arial" w:cs="Arial"/>
          <w:bCs/>
          <w:sz w:val="20"/>
          <w:szCs w:val="20"/>
          <w:lang w:val="bg-BG"/>
        </w:rPr>
        <w:t>Приложения:</w:t>
      </w:r>
    </w:p>
    <w:p w14:paraId="7DE72745" w14:textId="11293FBC" w:rsid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CB18B2">
        <w:rPr>
          <w:rFonts w:ascii="Arial" w:hAnsi="Arial" w:cs="Arial"/>
          <w:bCs/>
          <w:sz w:val="20"/>
          <w:szCs w:val="20"/>
          <w:lang w:val="bg-BG"/>
        </w:rPr>
        <w:t>-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Проект на договор.</w:t>
      </w:r>
    </w:p>
    <w:p w14:paraId="05A0C47C" w14:textId="03364327" w:rsidR="0060363F" w:rsidRDefault="0060363F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bg-BG"/>
        </w:rPr>
        <w:t xml:space="preserve">1 - </w:t>
      </w:r>
      <w:r w:rsidRPr="0060363F">
        <w:rPr>
          <w:rFonts w:ascii="Arial" w:hAnsi="Arial" w:cs="Arial"/>
          <w:bCs/>
          <w:sz w:val="20"/>
          <w:szCs w:val="20"/>
          <w:lang w:val="bg-BG"/>
        </w:rPr>
        <w:t>Предложение по образец</w:t>
      </w:r>
    </w:p>
    <w:p w14:paraId="27DA7070" w14:textId="686ACA6F" w:rsid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bg-BG"/>
        </w:rPr>
        <w:t>Б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CB18B2">
        <w:rPr>
          <w:rFonts w:ascii="Arial" w:hAnsi="Arial" w:cs="Arial"/>
          <w:bCs/>
          <w:sz w:val="20"/>
          <w:szCs w:val="20"/>
          <w:lang w:val="bg-BG"/>
        </w:rPr>
        <w:t>-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Техническ</w:t>
      </w:r>
      <w:r w:rsidR="00CB18B2">
        <w:rPr>
          <w:rFonts w:ascii="Arial" w:hAnsi="Arial" w:cs="Arial"/>
          <w:bCs/>
          <w:sz w:val="20"/>
          <w:szCs w:val="20"/>
          <w:lang w:val="bg-BG"/>
        </w:rPr>
        <w:t>о задание</w:t>
      </w:r>
      <w:r>
        <w:rPr>
          <w:rFonts w:ascii="Arial" w:hAnsi="Arial" w:cs="Arial"/>
          <w:bCs/>
          <w:sz w:val="20"/>
          <w:szCs w:val="20"/>
          <w:lang w:val="bg-BG"/>
        </w:rPr>
        <w:t>.</w:t>
      </w:r>
    </w:p>
    <w:p w14:paraId="7F30B1C1" w14:textId="6289F09F" w:rsidR="00CB18B2" w:rsidRDefault="00CB18B2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bg-BG"/>
        </w:rPr>
        <w:t>1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- </w:t>
      </w:r>
      <w:r w:rsidRPr="00CB18B2">
        <w:rPr>
          <w:rFonts w:ascii="Arial" w:hAnsi="Arial" w:cs="Arial"/>
          <w:bCs/>
          <w:sz w:val="20"/>
          <w:szCs w:val="20"/>
          <w:lang w:val="bg-BG"/>
        </w:rPr>
        <w:t>Таблици срокове</w:t>
      </w:r>
      <w:r>
        <w:rPr>
          <w:rFonts w:ascii="Arial" w:hAnsi="Arial" w:cs="Arial"/>
          <w:bCs/>
          <w:sz w:val="20"/>
          <w:szCs w:val="20"/>
          <w:lang w:val="bg-BG"/>
        </w:rPr>
        <w:t>.</w:t>
      </w:r>
    </w:p>
    <w:p w14:paraId="3F4E202E" w14:textId="2ECA414C" w:rsidR="00CB18B2" w:rsidRDefault="00CB18B2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bg-BG"/>
        </w:rPr>
        <w:t>2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– Ценови таблици.</w:t>
      </w:r>
    </w:p>
    <w:p w14:paraId="02184199" w14:textId="1954247F" w:rsidR="007462EA" w:rsidRP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bg-BG"/>
        </w:rPr>
        <w:t>3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– Стандартно споразумение по БЗР.</w:t>
      </w:r>
    </w:p>
    <w:p w14:paraId="779933F0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4B6A8895" w14:textId="77777777" w:rsidR="001C2FEB" w:rsidRDefault="001C2FEB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bg-BG"/>
        </w:rPr>
      </w:pPr>
    </w:p>
    <w:p w14:paraId="5106996A" w14:textId="77777777" w:rsidR="007462EA" w:rsidRPr="00EE1423" w:rsidRDefault="007462EA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bg-BG"/>
        </w:rPr>
      </w:pPr>
    </w:p>
    <w:p w14:paraId="053856D2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5D676B90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639652C5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18F23925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30D2" w14:textId="77777777" w:rsidR="008F0B77" w:rsidRDefault="008F0B77">
      <w:r>
        <w:separator/>
      </w:r>
    </w:p>
  </w:endnote>
  <w:endnote w:type="continuationSeparator" w:id="0">
    <w:p w14:paraId="0E08AE8C" w14:textId="77777777" w:rsidR="008F0B77" w:rsidRDefault="008F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3C02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2F736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B2F1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52C" w14:textId="77777777" w:rsidR="008F0B77" w:rsidRDefault="008F0B77">
      <w:r>
        <w:separator/>
      </w:r>
    </w:p>
  </w:footnote>
  <w:footnote w:type="continuationSeparator" w:id="0">
    <w:p w14:paraId="3275CDED" w14:textId="77777777" w:rsidR="008F0B77" w:rsidRDefault="008F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084C" w14:textId="5F974285" w:rsidR="0009275C" w:rsidRDefault="00DD315F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D04B389" wp14:editId="2133E9A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D6F5" w14:textId="7CF4613E" w:rsidR="001F131A" w:rsidRPr="009D0111" w:rsidRDefault="00DD315F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2FE05032" wp14:editId="64BE8B56">
          <wp:extent cx="119380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msoE998"/>
      </v:shape>
    </w:pict>
  </w:numPicBullet>
  <w:abstractNum w:abstractNumId="0" w15:restartNumberingAfterBreak="0">
    <w:nsid w:val="074B777F"/>
    <w:multiLevelType w:val="hybridMultilevel"/>
    <w:tmpl w:val="5008A2C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0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BE645A5"/>
    <w:multiLevelType w:val="multilevel"/>
    <w:tmpl w:val="545E06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9547FA"/>
    <w:multiLevelType w:val="multilevel"/>
    <w:tmpl w:val="2BF26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3D13338B"/>
    <w:multiLevelType w:val="hybridMultilevel"/>
    <w:tmpl w:val="2A0ECF5E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4D44"/>
    <w:multiLevelType w:val="hybridMultilevel"/>
    <w:tmpl w:val="CD8E5044"/>
    <w:lvl w:ilvl="0" w:tplc="45F66406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079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43FF5466"/>
    <w:multiLevelType w:val="hybridMultilevel"/>
    <w:tmpl w:val="3F2E5280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71F79"/>
    <w:multiLevelType w:val="hybridMultilevel"/>
    <w:tmpl w:val="3AAC3D8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F733F0"/>
    <w:multiLevelType w:val="hybridMultilevel"/>
    <w:tmpl w:val="92926C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32" w15:restartNumberingAfterBreak="0">
    <w:nsid w:val="5526488B"/>
    <w:multiLevelType w:val="multilevel"/>
    <w:tmpl w:val="849AA2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10D19"/>
    <w:multiLevelType w:val="hybridMultilevel"/>
    <w:tmpl w:val="3FD4155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5"/>
  </w:num>
  <w:num w:numId="3">
    <w:abstractNumId w:val="12"/>
  </w:num>
  <w:num w:numId="4">
    <w:abstractNumId w:val="10"/>
  </w:num>
  <w:num w:numId="5">
    <w:abstractNumId w:val="13"/>
  </w:num>
  <w:num w:numId="6">
    <w:abstractNumId w:val="1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3"/>
  </w:num>
  <w:num w:numId="11">
    <w:abstractNumId w:val="4"/>
  </w:num>
  <w:num w:numId="12">
    <w:abstractNumId w:val="34"/>
  </w:num>
  <w:num w:numId="13">
    <w:abstractNumId w:val="27"/>
  </w:num>
  <w:num w:numId="14">
    <w:abstractNumId w:val="36"/>
  </w:num>
  <w:num w:numId="15">
    <w:abstractNumId w:val="7"/>
  </w:num>
  <w:num w:numId="16">
    <w:abstractNumId w:val="19"/>
  </w:num>
  <w:num w:numId="17">
    <w:abstractNumId w:val="39"/>
  </w:num>
  <w:num w:numId="18">
    <w:abstractNumId w:val="6"/>
  </w:num>
  <w:num w:numId="19">
    <w:abstractNumId w:val="14"/>
  </w:num>
  <w:num w:numId="20">
    <w:abstractNumId w:val="18"/>
  </w:num>
  <w:num w:numId="21">
    <w:abstractNumId w:val="31"/>
  </w:num>
  <w:num w:numId="22">
    <w:abstractNumId w:val="8"/>
  </w:num>
  <w:num w:numId="23">
    <w:abstractNumId w:val="22"/>
  </w:num>
  <w:num w:numId="24">
    <w:abstractNumId w:val="3"/>
  </w:num>
  <w:num w:numId="25">
    <w:abstractNumId w:val="2"/>
  </w:num>
  <w:num w:numId="26">
    <w:abstractNumId w:val="9"/>
  </w:num>
  <w:num w:numId="27">
    <w:abstractNumId w:val="20"/>
  </w:num>
  <w:num w:numId="28">
    <w:abstractNumId w:val="11"/>
  </w:num>
  <w:num w:numId="29">
    <w:abstractNumId w:val="38"/>
  </w:num>
  <w:num w:numId="30">
    <w:abstractNumId w:val="28"/>
  </w:num>
  <w:num w:numId="31">
    <w:abstractNumId w:val="25"/>
  </w:num>
  <w:num w:numId="32">
    <w:abstractNumId w:val="23"/>
  </w:num>
  <w:num w:numId="33">
    <w:abstractNumId w:val="15"/>
  </w:num>
  <w:num w:numId="34">
    <w:abstractNumId w:val="26"/>
  </w:num>
  <w:num w:numId="35">
    <w:abstractNumId w:val="16"/>
  </w:num>
  <w:num w:numId="36">
    <w:abstractNumId w:val="30"/>
  </w:num>
  <w:num w:numId="37">
    <w:abstractNumId w:val="0"/>
  </w:num>
  <w:num w:numId="38">
    <w:abstractNumId w:val="24"/>
  </w:num>
  <w:num w:numId="39">
    <w:abstractNumId w:val="32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26C5"/>
    <w:rsid w:val="00003BAC"/>
    <w:rsid w:val="00003C5D"/>
    <w:rsid w:val="0000481C"/>
    <w:rsid w:val="00011364"/>
    <w:rsid w:val="00012E9A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167A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7F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3BBE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B761E"/>
    <w:rsid w:val="001C1DB4"/>
    <w:rsid w:val="001C2FEB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05BE"/>
    <w:rsid w:val="002D1F2E"/>
    <w:rsid w:val="002D2013"/>
    <w:rsid w:val="002D5B2F"/>
    <w:rsid w:val="002D5FA2"/>
    <w:rsid w:val="002E00A6"/>
    <w:rsid w:val="002E50A7"/>
    <w:rsid w:val="002F3875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76C3F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14ED"/>
    <w:rsid w:val="003D66B3"/>
    <w:rsid w:val="003D7536"/>
    <w:rsid w:val="003E274F"/>
    <w:rsid w:val="003E475A"/>
    <w:rsid w:val="003E6AC6"/>
    <w:rsid w:val="003E6E8A"/>
    <w:rsid w:val="003E70AA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84AC7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73120"/>
    <w:rsid w:val="00573F5E"/>
    <w:rsid w:val="005748B8"/>
    <w:rsid w:val="00575316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53B"/>
    <w:rsid w:val="005B0DA1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363F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4D37"/>
    <w:rsid w:val="00670EA7"/>
    <w:rsid w:val="00671522"/>
    <w:rsid w:val="00674D8A"/>
    <w:rsid w:val="00677635"/>
    <w:rsid w:val="00693FA6"/>
    <w:rsid w:val="00694300"/>
    <w:rsid w:val="006943F7"/>
    <w:rsid w:val="006951CE"/>
    <w:rsid w:val="006965D7"/>
    <w:rsid w:val="00696DC2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62EA"/>
    <w:rsid w:val="007471E3"/>
    <w:rsid w:val="00747FA8"/>
    <w:rsid w:val="0075089F"/>
    <w:rsid w:val="00761319"/>
    <w:rsid w:val="00761BE7"/>
    <w:rsid w:val="00762179"/>
    <w:rsid w:val="00762CA1"/>
    <w:rsid w:val="00765528"/>
    <w:rsid w:val="007659BC"/>
    <w:rsid w:val="0076761D"/>
    <w:rsid w:val="00771A47"/>
    <w:rsid w:val="00771F07"/>
    <w:rsid w:val="00773ED1"/>
    <w:rsid w:val="00777EE9"/>
    <w:rsid w:val="00780AEF"/>
    <w:rsid w:val="00782AA7"/>
    <w:rsid w:val="00784203"/>
    <w:rsid w:val="007844A0"/>
    <w:rsid w:val="0079088E"/>
    <w:rsid w:val="0079224F"/>
    <w:rsid w:val="007954F0"/>
    <w:rsid w:val="007962F4"/>
    <w:rsid w:val="007A2DB6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3D6F"/>
    <w:rsid w:val="00817C2A"/>
    <w:rsid w:val="0082060D"/>
    <w:rsid w:val="00822C30"/>
    <w:rsid w:val="008307AE"/>
    <w:rsid w:val="00832878"/>
    <w:rsid w:val="008342E6"/>
    <w:rsid w:val="00834C0E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1CFF"/>
    <w:rsid w:val="00892D70"/>
    <w:rsid w:val="008A5164"/>
    <w:rsid w:val="008A778A"/>
    <w:rsid w:val="008B32E7"/>
    <w:rsid w:val="008B44F5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56C"/>
    <w:rsid w:val="008E6DB7"/>
    <w:rsid w:val="008F0B7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2556"/>
    <w:rsid w:val="0092624C"/>
    <w:rsid w:val="00926E89"/>
    <w:rsid w:val="0092701F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0C93"/>
    <w:rsid w:val="009A17EB"/>
    <w:rsid w:val="009B1B74"/>
    <w:rsid w:val="009C06DB"/>
    <w:rsid w:val="009C269D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0997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A7372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0A63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B18B2"/>
    <w:rsid w:val="00CB5E04"/>
    <w:rsid w:val="00CC220E"/>
    <w:rsid w:val="00CC2F65"/>
    <w:rsid w:val="00CC3157"/>
    <w:rsid w:val="00CC54E7"/>
    <w:rsid w:val="00CD11B8"/>
    <w:rsid w:val="00CE1282"/>
    <w:rsid w:val="00CE42DC"/>
    <w:rsid w:val="00CE5DAE"/>
    <w:rsid w:val="00CF23C7"/>
    <w:rsid w:val="00CF3BBB"/>
    <w:rsid w:val="00CF6ABC"/>
    <w:rsid w:val="00CF6AC4"/>
    <w:rsid w:val="00D02332"/>
    <w:rsid w:val="00D07D87"/>
    <w:rsid w:val="00D100F1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0333"/>
    <w:rsid w:val="00D615C0"/>
    <w:rsid w:val="00D62163"/>
    <w:rsid w:val="00D65FC3"/>
    <w:rsid w:val="00D67A69"/>
    <w:rsid w:val="00D720BD"/>
    <w:rsid w:val="00D74382"/>
    <w:rsid w:val="00D82DFC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315F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B09"/>
    <w:rsid w:val="00ED3689"/>
    <w:rsid w:val="00ED3F44"/>
    <w:rsid w:val="00EE1423"/>
    <w:rsid w:val="00EE2FAF"/>
    <w:rsid w:val="00EE32C5"/>
    <w:rsid w:val="00EE3D98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2C62"/>
    <w:rsid w:val="00F13386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0EB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A7C50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FB62F4"/>
  <w15:chartTrackingRefBased/>
  <w15:docId w15:val="{55FAF552-6C3B-41DC-93A6-052A9C6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 RFQ</vt:lpstr>
    </vt:vector>
  </TitlesOfParts>
  <Company>Sofiyska Voda AD</Company>
  <LinksUpToDate>false</LinksUpToDate>
  <CharactersWithSpaces>8835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RFQ</dc:title>
  <dc:subject/>
  <dc:creator>dkurtev@sofiyskavoda.bg</dc:creator>
  <cp:keywords>10033279</cp:keywords>
  <dc:description/>
  <cp:lastModifiedBy>Diyan Kurtev</cp:lastModifiedBy>
  <cp:revision>9</cp:revision>
  <cp:lastPrinted>2025-12-11T10:59:00Z</cp:lastPrinted>
  <dcterms:created xsi:type="dcterms:W3CDTF">2025-12-11T11:07:00Z</dcterms:created>
  <dcterms:modified xsi:type="dcterms:W3CDTF">2026-04-16T12:04:00Z</dcterms:modified>
</cp:coreProperties>
</file>