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02C1" w14:textId="538C231B" w:rsidR="00E508C6" w:rsidRPr="00BE3F00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BE3F00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>
        <w:rPr>
          <w:rFonts w:ascii="Times New Roman" w:hAnsi="Times New Roman"/>
          <w:b/>
          <w:color w:val="000000"/>
          <w:lang w:val="bg-BG"/>
        </w:rPr>
        <w:t xml:space="preserve"> </w:t>
      </w:r>
      <w:r w:rsidRPr="00BE3F00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BE3F00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77777777" w:rsidR="00404488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BE3F00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56C2B718" w14:textId="4BE3D916" w:rsidR="00404488" w:rsidRPr="00404488" w:rsidRDefault="00953571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>
        <w:rPr>
          <w:rFonts w:ascii="Times New Roman" w:hAnsi="Times New Roman"/>
          <w:b/>
          <w:bCs/>
          <w:kern w:val="32"/>
          <w:lang w:val="bg-BG"/>
        </w:rPr>
        <w:t xml:space="preserve">РАЗДЕЛ А: </w:t>
      </w:r>
      <w:r w:rsidR="00404488" w:rsidRPr="00404488">
        <w:rPr>
          <w:rFonts w:ascii="Times New Roman" w:hAnsi="Times New Roman"/>
          <w:b/>
          <w:bCs/>
          <w:kern w:val="32"/>
          <w:lang w:val="bg-BG"/>
        </w:rPr>
        <w:t>ТЕХНИЧЕСКО ЗАДАНИЕ – ПРЕДМЕТ НА ДОГОВОРА</w:t>
      </w:r>
    </w:p>
    <w:p w14:paraId="5BCF5F8A" w14:textId="544BEEEA" w:rsidR="003974D9" w:rsidRPr="003974D9" w:rsidRDefault="002555BF" w:rsidP="003974D9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lang w:val="bg-BG"/>
        </w:rPr>
      </w:pPr>
      <w:r w:rsidRPr="002555BF">
        <w:rPr>
          <w:rFonts w:ascii="Times New Roman" w:hAnsi="Times New Roman"/>
          <w:b/>
          <w:bCs/>
          <w:spacing w:val="-3"/>
          <w:lang w:val="bg-BG"/>
        </w:rPr>
        <w:t>ОБХВАТ</w:t>
      </w:r>
      <w:r w:rsidR="00404488" w:rsidRPr="00C127EA">
        <w:rPr>
          <w:rFonts w:ascii="Times New Roman" w:hAnsi="Times New Roman"/>
          <w:b/>
          <w:bCs/>
          <w:spacing w:val="-3"/>
          <w:lang w:val="bg-BG"/>
        </w:rPr>
        <w:t>:</w:t>
      </w:r>
      <w:r w:rsidR="00404488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>
        <w:rPr>
          <w:rFonts w:ascii="Times New Roman" w:hAnsi="Times New Roman"/>
          <w:bCs/>
          <w:spacing w:val="-3"/>
          <w:lang w:val="bg-BG"/>
        </w:rPr>
        <w:t>У</w:t>
      </w:r>
      <w:r w:rsidRPr="002555BF">
        <w:rPr>
          <w:rFonts w:ascii="Times New Roman" w:hAnsi="Times New Roman"/>
          <w:bCs/>
          <w:spacing w:val="-3"/>
          <w:lang w:val="bg-BG"/>
        </w:rPr>
        <w:t>слугите, предмет на договора включват следните дейности</w:t>
      </w:r>
      <w:r>
        <w:rPr>
          <w:rFonts w:ascii="Times New Roman" w:hAnsi="Times New Roman"/>
          <w:bCs/>
          <w:spacing w:val="-3"/>
          <w:lang w:val="bg-BG"/>
        </w:rPr>
        <w:t>:</w:t>
      </w:r>
      <w:r w:rsidRPr="002555BF">
        <w:rPr>
          <w:rFonts w:ascii="Times New Roman" w:hAnsi="Times New Roman"/>
          <w:bCs/>
          <w:spacing w:val="-3"/>
          <w:lang w:val="bg-BG"/>
        </w:rPr>
        <w:t xml:space="preserve"> </w:t>
      </w:r>
      <w:r w:rsidR="003974D9" w:rsidRPr="003974D9">
        <w:rPr>
          <w:rFonts w:ascii="Times New Roman" w:hAnsi="Times New Roman"/>
          <w:lang w:val="bg-BG"/>
        </w:rPr>
        <w:t>Извънгаранционно сервизно обслужване на Автоматичен анализатор модел Xpert-TOC/TNb с 65 позиционен пробовземач и модул за твърди проби.</w:t>
      </w:r>
    </w:p>
    <w:p w14:paraId="4BC4C472" w14:textId="6E645830" w:rsidR="00404488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ИЗИСКВАНИЯ КЪМ СЕРВИЗНОТО ОБСЛУЖВАНЕ НА ЛАБОРАТОРН</w:t>
      </w:r>
      <w:r w:rsidR="00FE5C9E">
        <w:rPr>
          <w:rFonts w:ascii="Times New Roman" w:hAnsi="Times New Roman"/>
          <w:b/>
          <w:bCs/>
          <w:spacing w:val="-3"/>
          <w:lang w:val="bg-BG"/>
        </w:rPr>
        <w:t>И</w:t>
      </w:r>
      <w:r w:rsidRPr="00C127EA">
        <w:rPr>
          <w:rFonts w:ascii="Times New Roman" w:hAnsi="Times New Roman"/>
          <w:b/>
          <w:bCs/>
          <w:spacing w:val="-3"/>
          <w:lang w:val="bg-BG"/>
        </w:rPr>
        <w:t>Т</w:t>
      </w:r>
      <w:r w:rsidR="00FE5C9E">
        <w:rPr>
          <w:rFonts w:ascii="Times New Roman" w:hAnsi="Times New Roman"/>
          <w:b/>
          <w:bCs/>
          <w:spacing w:val="-3"/>
          <w:lang w:val="bg-BG"/>
        </w:rPr>
        <w:t>Е</w:t>
      </w:r>
      <w:r w:rsidRPr="00C127EA">
        <w:rPr>
          <w:rFonts w:ascii="Times New Roman" w:hAnsi="Times New Roman"/>
          <w:b/>
          <w:bCs/>
          <w:spacing w:val="-3"/>
          <w:lang w:val="bg-BG"/>
        </w:rPr>
        <w:t xml:space="preserve"> </w:t>
      </w:r>
      <w:r w:rsidR="00FE5C9E">
        <w:rPr>
          <w:rFonts w:ascii="Times New Roman" w:hAnsi="Times New Roman"/>
          <w:b/>
          <w:bCs/>
          <w:spacing w:val="-3"/>
          <w:lang w:val="bg-BG"/>
        </w:rPr>
        <w:t>УРЕДИ</w:t>
      </w:r>
      <w:r w:rsidRPr="00C127EA">
        <w:rPr>
          <w:rFonts w:ascii="Times New Roman" w:hAnsi="Times New Roman"/>
          <w:b/>
          <w:bCs/>
          <w:spacing w:val="-3"/>
          <w:lang w:val="bg-BG"/>
        </w:rPr>
        <w:t>, ПРЕДМЕТ НА ДОГОВОРА</w:t>
      </w:r>
      <w:r w:rsidRPr="00C127EA">
        <w:rPr>
          <w:rFonts w:ascii="Times New Roman" w:hAnsi="Times New Roman"/>
          <w:bCs/>
          <w:spacing w:val="-3"/>
          <w:lang w:val="bg-BG"/>
        </w:rPr>
        <w:t>:</w:t>
      </w:r>
    </w:p>
    <w:p w14:paraId="1A981663" w14:textId="42D87B1C" w:rsidR="007912C9" w:rsidRPr="00C127EA" w:rsidRDefault="007912C9" w:rsidP="007912C9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  <w:lang w:val="bg-BG"/>
        </w:rPr>
      </w:pPr>
      <w:r w:rsidRPr="007912C9">
        <w:rPr>
          <w:rFonts w:ascii="Times New Roman" w:hAnsi="Times New Roman"/>
          <w:bCs/>
          <w:spacing w:val="-3"/>
          <w:lang w:val="bg-BG"/>
        </w:rPr>
        <w:t xml:space="preserve">Възложителят възлага, а </w:t>
      </w:r>
      <w:r w:rsidR="009717CF">
        <w:rPr>
          <w:rFonts w:ascii="Times New Roman" w:hAnsi="Times New Roman"/>
          <w:bCs/>
          <w:spacing w:val="-3"/>
          <w:lang w:val="bg-BG"/>
        </w:rPr>
        <w:t>И</w:t>
      </w:r>
      <w:r w:rsidRPr="007912C9">
        <w:rPr>
          <w:rFonts w:ascii="Times New Roman" w:hAnsi="Times New Roman"/>
          <w:bCs/>
          <w:spacing w:val="-3"/>
          <w:lang w:val="bg-BG"/>
        </w:rPr>
        <w:t>зпълнителят приема да извършва сервизно обслужване на лабораторн</w:t>
      </w:r>
      <w:r w:rsidR="00FE2A23">
        <w:rPr>
          <w:rFonts w:ascii="Times New Roman" w:hAnsi="Times New Roman"/>
          <w:bCs/>
          <w:spacing w:val="-3"/>
          <w:lang w:val="bg-BG"/>
        </w:rPr>
        <w:t>ата апаратура</w:t>
      </w:r>
      <w:r w:rsidRPr="007912C9">
        <w:rPr>
          <w:rFonts w:ascii="Times New Roman" w:hAnsi="Times New Roman"/>
          <w:bCs/>
          <w:spacing w:val="-3"/>
          <w:lang w:val="bg-BG"/>
        </w:rPr>
        <w:t>, съобразно следните изисквания:</w:t>
      </w:r>
    </w:p>
    <w:p w14:paraId="0D55A84C" w14:textId="38530086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53555E">
        <w:rPr>
          <w:rFonts w:ascii="Times New Roman" w:hAnsi="Times New Roman"/>
          <w:bCs/>
          <w:spacing w:val="-3"/>
          <w:lang w:val="bg-BG"/>
        </w:rPr>
        <w:t>Извършване на профилактичен преглед, настройки и ремонт на посочената в т.</w:t>
      </w:r>
      <w:r w:rsidR="00905084">
        <w:rPr>
          <w:rFonts w:ascii="Times New Roman" w:hAnsi="Times New Roman"/>
          <w:bCs/>
          <w:spacing w:val="-3"/>
          <w:lang w:val="bg-BG"/>
        </w:rPr>
        <w:t xml:space="preserve"> </w:t>
      </w:r>
      <w:r w:rsidRPr="0053555E">
        <w:rPr>
          <w:rFonts w:ascii="Times New Roman" w:hAnsi="Times New Roman"/>
          <w:bCs/>
          <w:spacing w:val="-3"/>
          <w:lang w:val="bg-BG"/>
        </w:rPr>
        <w:t>1 от този раздел лабораторна апаратура.</w:t>
      </w:r>
    </w:p>
    <w:p w14:paraId="3CF6CB98" w14:textId="77777777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>Профилактичните прегледи и сервизното обслужване на лабораторната апаратура се извършват по заявка/поръчка на Възложителя. Заявката се изпраща по електронна поща.</w:t>
      </w:r>
    </w:p>
    <w:p w14:paraId="4A8B0360" w14:textId="77777777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 xml:space="preserve">След всеки профилактичен преглед, настройки и ремонт се изготвя Протокол за извършената работа, анализ на състоянието на лабораторната апаратура и описание на резервните части и/или консумативите, които подлежат на смяна, в случай на необходимост. </w:t>
      </w:r>
    </w:p>
    <w:p w14:paraId="161E8508" w14:textId="77777777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 xml:space="preserve">В цената на сервизното обслужване не е включена цената на необходимите резервни части и консумативи. </w:t>
      </w:r>
    </w:p>
    <w:p w14:paraId="6D62235F" w14:textId="4E5D9023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 xml:space="preserve">Предмет на договора е Ценова таблица № </w:t>
      </w:r>
      <w:r w:rsidR="00D7386A">
        <w:rPr>
          <w:rFonts w:ascii="Times New Roman" w:hAnsi="Times New Roman"/>
          <w:bCs/>
          <w:spacing w:val="-3"/>
          <w:lang w:val="bg-BG"/>
        </w:rPr>
        <w:t>2</w:t>
      </w:r>
      <w:r w:rsidR="00CC6CBB">
        <w:rPr>
          <w:rFonts w:ascii="Times New Roman" w:hAnsi="Times New Roman"/>
          <w:bCs/>
          <w:spacing w:val="-3"/>
          <w:lang w:val="bg-BG"/>
        </w:rPr>
        <w:t xml:space="preserve"> </w:t>
      </w:r>
      <w:r w:rsidR="001D0862">
        <w:rPr>
          <w:rFonts w:ascii="Times New Roman" w:hAnsi="Times New Roman"/>
          <w:bCs/>
          <w:spacing w:val="-3"/>
          <w:lang w:val="bg-BG"/>
        </w:rPr>
        <w:t>-</w:t>
      </w:r>
      <w:r w:rsidR="00CC6CBB">
        <w:rPr>
          <w:rFonts w:ascii="Times New Roman" w:hAnsi="Times New Roman"/>
          <w:bCs/>
          <w:spacing w:val="-3"/>
          <w:lang w:val="bg-BG"/>
        </w:rPr>
        <w:t xml:space="preserve"> </w:t>
      </w:r>
      <w:r w:rsidR="001D0862">
        <w:rPr>
          <w:rFonts w:ascii="Times New Roman" w:hAnsi="Times New Roman"/>
          <w:bCs/>
          <w:spacing w:val="-3"/>
          <w:lang w:val="bg-BG"/>
        </w:rPr>
        <w:t>Приложение 3.2. към договора</w:t>
      </w:r>
      <w:r w:rsidRPr="00B53A49">
        <w:rPr>
          <w:rFonts w:ascii="Times New Roman" w:hAnsi="Times New Roman"/>
          <w:bCs/>
          <w:spacing w:val="-3"/>
          <w:lang w:val="bg-BG"/>
        </w:rPr>
        <w:t>, която включва цената за един сервизен час при обслужване от Изпълнителя на лабораторната апаратура.</w:t>
      </w:r>
    </w:p>
    <w:p w14:paraId="1CBAE776" w14:textId="77777777" w:rsid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>Обменът на информация се извършва чрез пощенска или друга куриерска услуга с препоръчана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</w:t>
      </w:r>
    </w:p>
    <w:p w14:paraId="72AFCF77" w14:textId="4C12D614" w:rsidR="0053555E" w:rsidRPr="00B53A49" w:rsidRDefault="0053555E" w:rsidP="0053555E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B53A49">
        <w:rPr>
          <w:rFonts w:ascii="Times New Roman" w:hAnsi="Times New Roman"/>
          <w:bCs/>
          <w:spacing w:val="-3"/>
          <w:lang w:val="bg-BG"/>
        </w:rPr>
        <w:t xml:space="preserve">Лабораторната апаратура, предмет на договора, се сервизира по местата, на които е разположена в обектите на Възложителя. В случай че се наложи сервизното обслужване да се извърши в бази на Изпълнителя, апаратурата му се предава с двустранно подписан приемо-предавателен протокол, в който са описани вид, модел и сериен номер на апаратурата, дата на предаване, описание на повредата и състоянието на апаратурата. </w:t>
      </w:r>
    </w:p>
    <w:p w14:paraId="3ED1DB1C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Cs/>
          <w:spacing w:val="-3"/>
          <w:lang w:val="bg-BG"/>
        </w:rPr>
      </w:pPr>
    </w:p>
    <w:p w14:paraId="13CFA50E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 xml:space="preserve">МЕСТОПОЛОЖЕНИЕ НА ЛАБОРАТОРНАТА АПАРАТУРА, ПРЕДМЕТ НА ДОГОВОРА </w:t>
      </w:r>
    </w:p>
    <w:p w14:paraId="1FFBC26F" w14:textId="2B66AC8E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Лабораторн</w:t>
      </w:r>
      <w:r w:rsidR="00001B1B">
        <w:rPr>
          <w:rFonts w:ascii="Times New Roman" w:hAnsi="Times New Roman"/>
          <w:bCs/>
          <w:spacing w:val="-3"/>
          <w:lang w:val="bg-BG"/>
        </w:rPr>
        <w:t>ата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001B1B">
        <w:rPr>
          <w:rFonts w:ascii="Times New Roman" w:hAnsi="Times New Roman"/>
          <w:bCs/>
          <w:spacing w:val="-3"/>
          <w:lang w:val="bg-BG"/>
        </w:rPr>
        <w:t>апаратура</w:t>
      </w:r>
      <w:r w:rsidRPr="00C127EA">
        <w:rPr>
          <w:rFonts w:ascii="Times New Roman" w:hAnsi="Times New Roman"/>
          <w:bCs/>
          <w:spacing w:val="-3"/>
          <w:lang w:val="bg-BG"/>
        </w:rPr>
        <w:t>, ко</w:t>
      </w:r>
      <w:r w:rsidR="00001B1B">
        <w:rPr>
          <w:rFonts w:ascii="Times New Roman" w:hAnsi="Times New Roman"/>
          <w:bCs/>
          <w:spacing w:val="-3"/>
          <w:lang w:val="bg-BG"/>
        </w:rPr>
        <w:t>я</w:t>
      </w:r>
      <w:r w:rsidRPr="00C127EA">
        <w:rPr>
          <w:rFonts w:ascii="Times New Roman" w:hAnsi="Times New Roman"/>
          <w:bCs/>
          <w:spacing w:val="-3"/>
          <w:lang w:val="bg-BG"/>
        </w:rPr>
        <w:t>то подлеж</w:t>
      </w:r>
      <w:r w:rsidR="00001B1B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на обслужване от Изпълнителя съобразно договора, се намира на територията на гр. София </w:t>
      </w:r>
      <w:r w:rsidR="00B4518C">
        <w:rPr>
          <w:rFonts w:ascii="Times New Roman" w:hAnsi="Times New Roman"/>
          <w:bCs/>
          <w:spacing w:val="-3"/>
          <w:lang w:val="bg-BG"/>
        </w:rPr>
        <w:t>на адрес</w:t>
      </w:r>
      <w:r w:rsidR="00F927FE">
        <w:rPr>
          <w:rFonts w:ascii="Times New Roman" w:hAnsi="Times New Roman"/>
          <w:bCs/>
          <w:spacing w:val="-3"/>
          <w:lang w:val="bg-BG"/>
        </w:rPr>
        <w:t>: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</w:p>
    <w:p w14:paraId="5B1F7E27" w14:textId="62C8223C" w:rsidR="00F91421" w:rsidRPr="00F91421" w:rsidRDefault="00522062" w:rsidP="00AB472E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bCs/>
          <w:spacing w:val="-3"/>
          <w:lang w:val="bg-BG"/>
        </w:rPr>
      </w:pPr>
      <w:r>
        <w:rPr>
          <w:rFonts w:ascii="Times New Roman" w:hAnsi="Times New Roman"/>
          <w:bCs/>
          <w:spacing w:val="-3"/>
          <w:lang w:val="bg-BG"/>
        </w:rPr>
        <w:t xml:space="preserve">ЛИК </w:t>
      </w:r>
      <w:r w:rsidR="00F91421" w:rsidRPr="00F91421">
        <w:rPr>
          <w:rFonts w:ascii="Times New Roman" w:hAnsi="Times New Roman"/>
          <w:bCs/>
          <w:spacing w:val="-3"/>
          <w:lang w:val="bg-BG"/>
        </w:rPr>
        <w:t>Отпадъчни води, кв. „Бенковски“,  СПСОВ „Кубратово“, административна сграда.</w:t>
      </w:r>
    </w:p>
    <w:p w14:paraId="0BC095D5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Cs/>
          <w:spacing w:val="-3"/>
          <w:lang w:val="bg-BG"/>
        </w:rPr>
      </w:pPr>
    </w:p>
    <w:p w14:paraId="7640CC97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СРОКОВЕ</w:t>
      </w:r>
    </w:p>
    <w:p w14:paraId="2EF5B03F" w14:textId="62B14BFC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Максималният срок за реакция </w:t>
      </w:r>
      <w:r w:rsidR="00E10EB2" w:rsidRPr="00E10EB2">
        <w:rPr>
          <w:rFonts w:ascii="Times New Roman" w:hAnsi="Times New Roman"/>
          <w:bCs/>
          <w:spacing w:val="-3"/>
          <w:lang w:val="bg-BG"/>
        </w:rPr>
        <w:t xml:space="preserve">от страна на </w:t>
      </w:r>
      <w:r w:rsidR="00E10EB2">
        <w:rPr>
          <w:rFonts w:ascii="Times New Roman" w:hAnsi="Times New Roman"/>
          <w:bCs/>
          <w:spacing w:val="-3"/>
          <w:lang w:val="bg-BG"/>
        </w:rPr>
        <w:t>И</w:t>
      </w:r>
      <w:r w:rsidR="00E10EB2" w:rsidRPr="00E10EB2">
        <w:rPr>
          <w:rFonts w:ascii="Times New Roman" w:hAnsi="Times New Roman"/>
          <w:bCs/>
          <w:spacing w:val="-3"/>
          <w:lang w:val="bg-BG"/>
        </w:rPr>
        <w:t xml:space="preserve">зпълнителя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е до 24 </w:t>
      </w:r>
      <w:r w:rsidR="003C3586" w:rsidRPr="003C3586">
        <w:rPr>
          <w:rFonts w:ascii="Times New Roman" w:hAnsi="Times New Roman"/>
          <w:bCs/>
          <w:spacing w:val="-3"/>
          <w:lang w:val="bg-BG"/>
        </w:rPr>
        <w:t>(двадесет и четири)</w:t>
      </w:r>
      <w:r w:rsidR="003C3586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часа след писмено възлагане </w:t>
      </w:r>
      <w:r w:rsidR="00B72DE4" w:rsidRPr="00C127EA">
        <w:rPr>
          <w:rFonts w:ascii="Times New Roman" w:hAnsi="Times New Roman"/>
          <w:bCs/>
          <w:spacing w:val="-3"/>
          <w:lang w:val="bg-BG"/>
        </w:rPr>
        <w:t xml:space="preserve">от страна на Възложителя </w:t>
      </w:r>
      <w:r w:rsidR="006431A2" w:rsidRPr="00C127EA">
        <w:rPr>
          <w:rFonts w:ascii="Times New Roman" w:hAnsi="Times New Roman"/>
          <w:bCs/>
          <w:spacing w:val="-3"/>
          <w:lang w:val="bg-BG"/>
        </w:rPr>
        <w:t>по електронна поща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. Срокът за реакция е срокът, в който Изпълнителят се свързва с </w:t>
      </w:r>
      <w:r w:rsidR="000A4E36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>онтролиращия служител от страна на Възложителя, запознава се с причината за постъпилото възлагане и започва да работи по отстраняване на проблема.</w:t>
      </w:r>
      <w:r w:rsidR="000A4E36">
        <w:rPr>
          <w:rFonts w:ascii="Times New Roman" w:hAnsi="Times New Roman"/>
          <w:bCs/>
          <w:spacing w:val="-3"/>
          <w:lang w:val="bg-BG"/>
        </w:rPr>
        <w:t xml:space="preserve"> </w:t>
      </w:r>
    </w:p>
    <w:p w14:paraId="2277303D" w14:textId="78A8578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В случай</w:t>
      </w:r>
      <w:r w:rsidR="002139A9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че проблемът изисква посещение на място от сервизен инженер, Изпълнителят се задължава в срок до 2 (два) работни дни след изтичане на срока по т.</w:t>
      </w:r>
      <w:r w:rsidR="0018200B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4.1 от този раздел да осигури посещение от сервизен инженер. Решението за посещение на </w:t>
      </w:r>
      <w:r w:rsidRPr="00C127EA">
        <w:rPr>
          <w:rFonts w:ascii="Times New Roman" w:hAnsi="Times New Roman"/>
          <w:bCs/>
          <w:spacing w:val="-3"/>
          <w:lang w:val="bg-BG"/>
        </w:rPr>
        <w:lastRenderedPageBreak/>
        <w:t>място при Възложителя се взема по взаимно съгласие на страните по договора в писмен вид чрез изпращане на имейл.</w:t>
      </w:r>
    </w:p>
    <w:p w14:paraId="51825559" w14:textId="6D742A18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Максималният срок, в който Изпълнителят възстановява функционалната годност на даден</w:t>
      </w:r>
      <w:r w:rsidR="00FF6333">
        <w:rPr>
          <w:rFonts w:ascii="Times New Roman" w:hAnsi="Times New Roman"/>
          <w:bCs/>
          <w:spacing w:val="-3"/>
          <w:lang w:val="bg-BG"/>
        </w:rPr>
        <w:t>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FF6333">
        <w:rPr>
          <w:rFonts w:ascii="Times New Roman" w:hAnsi="Times New Roman"/>
          <w:bCs/>
          <w:spacing w:val="-3"/>
          <w:lang w:val="bg-BG"/>
        </w:rPr>
        <w:t>апаратура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започва да тече след изтичане на срока по т. 4.1. или т. 4.2. от този раздел. Максималният срок за възстановяване на функционалната годност на даден</w:t>
      </w:r>
      <w:r w:rsidR="00C03B2F">
        <w:rPr>
          <w:rFonts w:ascii="Times New Roman" w:hAnsi="Times New Roman"/>
          <w:bCs/>
          <w:spacing w:val="-3"/>
          <w:lang w:val="bg-BG"/>
        </w:rPr>
        <w:t>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C03B2F">
        <w:rPr>
          <w:rFonts w:ascii="Times New Roman" w:hAnsi="Times New Roman"/>
          <w:bCs/>
          <w:spacing w:val="-3"/>
          <w:lang w:val="bg-BG"/>
        </w:rPr>
        <w:t>апаратура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включва:</w:t>
      </w:r>
    </w:p>
    <w:p w14:paraId="10111239" w14:textId="77777777" w:rsidR="00404488" w:rsidRPr="00C127EA" w:rsidRDefault="00404488" w:rsidP="00404488">
      <w:pPr>
        <w:widowControl w:val="0"/>
        <w:numPr>
          <w:ilvl w:val="2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До 5 (пет) работни дни за осъществяване на сервизна дейност по отстраняване на повреди, когато не се изисква доставка на резервни части и консумативи;</w:t>
      </w:r>
    </w:p>
    <w:p w14:paraId="79F4D4D8" w14:textId="77777777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При необходимост от доставка на консумативи и резервни части, срокът по предходната точка започва да тече, считано от датата на доставката им. </w:t>
      </w:r>
    </w:p>
    <w:p w14:paraId="547AAEA8" w14:textId="27E9EB36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След всяка проверка или сервизна дейност</w:t>
      </w:r>
      <w:r w:rsidR="00C64700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Изпълнителят попълва Протокол, удостоверяващ извършването на дейността. Протоколът се подписва двустранно.</w:t>
      </w:r>
    </w:p>
    <w:p w14:paraId="63CA9424" w14:textId="04AAEDEB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Гаранционният срок на изпълнените сервизни дейности по договора е не по-малко от 30 (тридесет) календарни дни, считано от датата на двустранно подписан протокол за извършената сервизна дейност, освен ако Изпълнителят не е оферирал по-дълъг срок в Таблица-срокове № 1. Гаранцията на сервизните дейности важи при правилна експлоатация от страна на Възложителя в съответствие с препоръките и изискванията на производителя на </w:t>
      </w:r>
      <w:r w:rsidR="00A47708">
        <w:rPr>
          <w:rFonts w:ascii="Times New Roman" w:hAnsi="Times New Roman"/>
          <w:bCs/>
          <w:spacing w:val="-3"/>
          <w:lang w:val="bg-BG"/>
        </w:rPr>
        <w:t>апаратурата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. </w:t>
      </w:r>
    </w:p>
    <w:p w14:paraId="6DA2180B" w14:textId="5C0F6D1F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 Гаранцията на изпълнените сервизни дейности включва отстраняване на повредите по вече извършените услуги в срок до 10 (десет) работни дни, считано от писменото уведомяване от страна на Възложителя. В този случай, трудът и транспортните разходи при отстраняването на повредите са за сметка на Изпълнителя</w:t>
      </w:r>
      <w:r w:rsidR="00EF485D">
        <w:rPr>
          <w:rFonts w:ascii="Times New Roman" w:hAnsi="Times New Roman"/>
          <w:bCs/>
          <w:spacing w:val="-3"/>
          <w:lang w:val="bg-BG"/>
        </w:rPr>
        <w:t>.</w:t>
      </w:r>
    </w:p>
    <w:p w14:paraId="7E815E92" w14:textId="77777777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 Гаранцията на услугата не покрива стойността на необходимите допълнителни резервни части и консумативи, различни от вложените, които са за сметка на Възложителя.</w:t>
      </w:r>
    </w:p>
    <w:p w14:paraId="63433D07" w14:textId="6FE9F02C" w:rsidR="00404488" w:rsidRPr="00841BC4" w:rsidRDefault="00841BC4" w:rsidP="00841BC4">
      <w:pPr>
        <w:pStyle w:val="ListParagraph"/>
        <w:widowControl w:val="0"/>
        <w:numPr>
          <w:ilvl w:val="1"/>
          <w:numId w:val="33"/>
        </w:numPr>
        <w:ind w:left="0" w:right="-2" w:firstLine="0"/>
        <w:jc w:val="both"/>
        <w:rPr>
          <w:rFonts w:ascii="Times New Roman" w:hAnsi="Times New Roman"/>
          <w:spacing w:val="-3"/>
          <w:lang w:val="bg-BG"/>
        </w:rPr>
      </w:pPr>
      <w:r w:rsidRPr="00841BC4">
        <w:rPr>
          <w:rFonts w:ascii="Times New Roman" w:hAnsi="Times New Roman"/>
          <w:spacing w:val="-3"/>
          <w:lang w:val="bg-BG"/>
        </w:rPr>
        <w:t>Възложителят трябва да спазва инструкциите за работа с апаратурата дадени от производителя, както и препоръките за правилна експлоатация дадени от Изпълнителя.</w:t>
      </w:r>
    </w:p>
    <w:p w14:paraId="051ACAFD" w14:textId="77777777" w:rsidR="00841BC4" w:rsidRPr="00841BC4" w:rsidRDefault="00841BC4" w:rsidP="00841BC4">
      <w:pPr>
        <w:pStyle w:val="ListParagraph"/>
        <w:widowControl w:val="0"/>
        <w:ind w:left="1080" w:right="-2"/>
        <w:jc w:val="both"/>
        <w:rPr>
          <w:rFonts w:ascii="Times New Roman" w:hAnsi="Times New Roman"/>
          <w:b/>
          <w:bCs/>
          <w:spacing w:val="-3"/>
          <w:lang w:val="bg-BG"/>
        </w:rPr>
      </w:pPr>
    </w:p>
    <w:p w14:paraId="2589233D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СЕРТИФИКАТИ</w:t>
      </w:r>
    </w:p>
    <w:p w14:paraId="1919B201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През целия срок на договора, Изпълнителят трябва да разполага с валиден сертификат за внедрена система за управление на качеството в съответствие с изискванията на </w:t>
      </w:r>
      <w:r w:rsidRPr="00C127EA">
        <w:rPr>
          <w:rFonts w:ascii="Times New Roman" w:hAnsi="Times New Roman"/>
          <w:lang w:val="bg-BG"/>
        </w:rPr>
        <w:t xml:space="preserve">EN ISO 9001:2015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или еквивалент. </w:t>
      </w:r>
    </w:p>
    <w:p w14:paraId="09CE97D9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В случай че в срока на договора Изпълнителят остане без валиден сертификат по т. 5.1</w:t>
      </w:r>
      <w:r>
        <w:rPr>
          <w:rFonts w:ascii="Times New Roman" w:hAnsi="Times New Roman"/>
          <w:bCs/>
          <w:spacing w:val="-3"/>
          <w:lang w:val="bg-BG"/>
        </w:rPr>
        <w:t xml:space="preserve">.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от този раздел, то той е длъжен до 3 (три) работни дни, считано от датата на събитието, да уведоми Възложителя. </w:t>
      </w:r>
    </w:p>
    <w:p w14:paraId="55A41E3F" w14:textId="753ED184" w:rsidR="00404488" w:rsidRPr="00C127EA" w:rsidRDefault="00404488" w:rsidP="00404488">
      <w:pPr>
        <w:widowControl w:val="0"/>
        <w:numPr>
          <w:ilvl w:val="1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случай че след изтичане на срока на валидност на сертификата по т. 5.1. </w:t>
      </w:r>
      <w:r w:rsidR="00327A3B" w:rsidRPr="00C127EA">
        <w:rPr>
          <w:rFonts w:ascii="Times New Roman" w:hAnsi="Times New Roman"/>
          <w:bCs/>
          <w:spacing w:val="-3"/>
          <w:lang w:val="bg-BG"/>
        </w:rPr>
        <w:t>от този раздел</w:t>
      </w:r>
      <w:r w:rsidR="00327A3B">
        <w:rPr>
          <w:rFonts w:ascii="Times New Roman" w:hAnsi="Times New Roman"/>
          <w:bCs/>
          <w:spacing w:val="-3"/>
          <w:lang w:val="bg-BG"/>
        </w:rPr>
        <w:t>,</w:t>
      </w:r>
      <w:r w:rsidR="00327A3B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същият не бъде подновен, Възложителят има право да прекрати едностранно договора. </w:t>
      </w:r>
    </w:p>
    <w:p w14:paraId="14293C7E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/>
          <w:bCs/>
          <w:spacing w:val="-3"/>
          <w:lang w:val="bg-BG"/>
        </w:rPr>
      </w:pPr>
    </w:p>
    <w:p w14:paraId="0D026CF1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ИЗИСКВАНИЯ КЪМ ЛИЦАТА, АНГАЖИРАНИ В ИЗПЪЛНЕНИЕТО НА ДОГОВОРА</w:t>
      </w:r>
    </w:p>
    <w:p w14:paraId="311A11C0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При сервизното обслужване на лабораторните уреди/апаратурата, предмет на договора, Изпълнителят осигурява квалифициран персонал. </w:t>
      </w:r>
    </w:p>
    <w:p w14:paraId="5027AF11" w14:textId="7040F063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случай на промяна на лицата (персонала), ангажирани с изпълнението на дейностите по договора, посочени в представения от Изпълнителя списък в хода на процедурата, то той </w:t>
      </w:r>
      <w:r w:rsidR="009A6A19" w:rsidRPr="00C127EA">
        <w:rPr>
          <w:rFonts w:ascii="Times New Roman" w:hAnsi="Times New Roman"/>
          <w:bCs/>
          <w:spacing w:val="-3"/>
          <w:lang w:val="bg-BG"/>
        </w:rPr>
        <w:t xml:space="preserve">предварително </w:t>
      </w:r>
      <w:r w:rsidR="009A6A19">
        <w:rPr>
          <w:rFonts w:ascii="Times New Roman" w:hAnsi="Times New Roman"/>
          <w:bCs/>
          <w:spacing w:val="-3"/>
          <w:lang w:val="bg-BG"/>
        </w:rPr>
        <w:t xml:space="preserve">писмено </w:t>
      </w:r>
      <w:r w:rsidR="009A6A19">
        <w:rPr>
          <w:rFonts w:ascii="Times New Roman" w:hAnsi="Times New Roman"/>
          <w:bCs/>
          <w:spacing w:val="-3"/>
          <w:lang w:val="en-US"/>
        </w:rPr>
        <w:t>(</w:t>
      </w:r>
      <w:r w:rsidR="009A6A19" w:rsidRPr="00C127EA">
        <w:rPr>
          <w:rFonts w:ascii="Times New Roman" w:hAnsi="Times New Roman"/>
          <w:bCs/>
          <w:spacing w:val="-3"/>
          <w:lang w:val="bg-BG"/>
        </w:rPr>
        <w:t>по електронна поща</w:t>
      </w:r>
      <w:r w:rsidR="009A6A19">
        <w:rPr>
          <w:rFonts w:ascii="Times New Roman" w:hAnsi="Times New Roman"/>
          <w:bCs/>
          <w:spacing w:val="-3"/>
          <w:lang w:val="en-US"/>
        </w:rPr>
        <w:t>)</w:t>
      </w:r>
      <w:r w:rsidR="009A6A19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AD45D4" w:rsidRPr="00C127EA">
        <w:rPr>
          <w:rFonts w:ascii="Times New Roman" w:hAnsi="Times New Roman"/>
          <w:bCs/>
          <w:spacing w:val="-3"/>
          <w:lang w:val="bg-BG"/>
        </w:rPr>
        <w:t>уведомява Възложителя за това обстоятелство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. Към уведомлението Изпълнителят прилага нов списък, съдържащ следната информация за новите лица: </w:t>
      </w:r>
    </w:p>
    <w:p w14:paraId="1D74017C" w14:textId="648734A4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име и фамилия на сервизния инженер, както и образование (специалност), професионална квалификация (завършено обучение, курсове и др.)</w:t>
      </w:r>
      <w:r w:rsidR="00E36B2D">
        <w:rPr>
          <w:rFonts w:ascii="Times New Roman" w:hAnsi="Times New Roman"/>
          <w:bCs/>
          <w:spacing w:val="-3"/>
          <w:lang w:val="bg-BG"/>
        </w:rPr>
        <w:t>.</w:t>
      </w:r>
    </w:p>
    <w:p w14:paraId="474C6B3D" w14:textId="77777777" w:rsidR="00404488" w:rsidRPr="00BE3F00" w:rsidRDefault="00404488" w:rsidP="00BE3F00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sectPr w:rsidR="00404488" w:rsidRPr="00BE3F00" w:rsidSect="006C582C">
      <w:footerReference w:type="default" r:id="rId8"/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3392D" w14:textId="77777777" w:rsidR="00F12161" w:rsidRDefault="00F12161" w:rsidP="00870CA8">
      <w:r>
        <w:separator/>
      </w:r>
    </w:p>
  </w:endnote>
  <w:endnote w:type="continuationSeparator" w:id="0">
    <w:p w14:paraId="1E8114E3" w14:textId="77777777" w:rsidR="00F12161" w:rsidRDefault="00F12161" w:rsidP="0087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75495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5FD702B0" w14:textId="45DD22F2" w:rsidR="00870CA8" w:rsidRPr="00870CA8" w:rsidRDefault="00870CA8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870CA8">
          <w:rPr>
            <w:rFonts w:ascii="Times New Roman" w:hAnsi="Times New Roman"/>
            <w:sz w:val="18"/>
            <w:szCs w:val="18"/>
          </w:rPr>
          <w:fldChar w:fldCharType="begin"/>
        </w:r>
        <w:r w:rsidRPr="00870CA8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870CA8">
          <w:rPr>
            <w:rFonts w:ascii="Times New Roman" w:hAnsi="Times New Roman"/>
            <w:sz w:val="18"/>
            <w:szCs w:val="18"/>
          </w:rPr>
          <w:fldChar w:fldCharType="separate"/>
        </w:r>
        <w:r w:rsidRPr="00870CA8">
          <w:rPr>
            <w:rFonts w:ascii="Times New Roman" w:hAnsi="Times New Roman"/>
            <w:noProof/>
            <w:sz w:val="18"/>
            <w:szCs w:val="18"/>
          </w:rPr>
          <w:t>2</w:t>
        </w:r>
        <w:r w:rsidRPr="00870CA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194F678F" w14:textId="77777777" w:rsidR="00870CA8" w:rsidRDefault="00870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D613" w14:textId="77777777" w:rsidR="00F12161" w:rsidRDefault="00F12161" w:rsidP="00870CA8">
      <w:r>
        <w:separator/>
      </w:r>
    </w:p>
  </w:footnote>
  <w:footnote w:type="continuationSeparator" w:id="0">
    <w:p w14:paraId="05577D3B" w14:textId="77777777" w:rsidR="00F12161" w:rsidRDefault="00F12161" w:rsidP="00870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5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7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8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"/>
  </w:num>
  <w:num w:numId="4">
    <w:abstractNumId w:val="20"/>
  </w:num>
  <w:num w:numId="5">
    <w:abstractNumId w:val="32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16"/>
  </w:num>
  <w:num w:numId="11">
    <w:abstractNumId w:val="1"/>
  </w:num>
  <w:num w:numId="12">
    <w:abstractNumId w:val="12"/>
  </w:num>
  <w:num w:numId="13">
    <w:abstractNumId w:val="27"/>
  </w:num>
  <w:num w:numId="14">
    <w:abstractNumId w:val="0"/>
  </w:num>
  <w:num w:numId="15">
    <w:abstractNumId w:val="22"/>
  </w:num>
  <w:num w:numId="16">
    <w:abstractNumId w:val="31"/>
  </w:num>
  <w:num w:numId="17">
    <w:abstractNumId w:val="30"/>
  </w:num>
  <w:num w:numId="18">
    <w:abstractNumId w:val="28"/>
  </w:num>
  <w:num w:numId="19">
    <w:abstractNumId w:val="4"/>
  </w:num>
  <w:num w:numId="20">
    <w:abstractNumId w:val="26"/>
  </w:num>
  <w:num w:numId="21">
    <w:abstractNumId w:val="18"/>
  </w:num>
  <w:num w:numId="22">
    <w:abstractNumId w:val="24"/>
  </w:num>
  <w:num w:numId="23">
    <w:abstractNumId w:val="6"/>
  </w:num>
  <w:num w:numId="24">
    <w:abstractNumId w:val="19"/>
  </w:num>
  <w:num w:numId="25">
    <w:abstractNumId w:val="10"/>
  </w:num>
  <w:num w:numId="26">
    <w:abstractNumId w:val="17"/>
  </w:num>
  <w:num w:numId="27">
    <w:abstractNumId w:val="25"/>
  </w:num>
  <w:num w:numId="28">
    <w:abstractNumId w:val="21"/>
  </w:num>
  <w:num w:numId="29">
    <w:abstractNumId w:val="2"/>
  </w:num>
  <w:num w:numId="30">
    <w:abstractNumId w:val="13"/>
  </w:num>
  <w:num w:numId="31">
    <w:abstractNumId w:val="8"/>
  </w:num>
  <w:num w:numId="32">
    <w:abstractNumId w:val="11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1B1B"/>
    <w:rsid w:val="00007C55"/>
    <w:rsid w:val="00022061"/>
    <w:rsid w:val="0002474B"/>
    <w:rsid w:val="0003059C"/>
    <w:rsid w:val="00032E57"/>
    <w:rsid w:val="0005701A"/>
    <w:rsid w:val="0006175A"/>
    <w:rsid w:val="00065E87"/>
    <w:rsid w:val="000A4E36"/>
    <w:rsid w:val="000B6FB5"/>
    <w:rsid w:val="000C5757"/>
    <w:rsid w:val="000F61C2"/>
    <w:rsid w:val="00134E4E"/>
    <w:rsid w:val="00145799"/>
    <w:rsid w:val="0016191E"/>
    <w:rsid w:val="0017542A"/>
    <w:rsid w:val="0018200B"/>
    <w:rsid w:val="001A4811"/>
    <w:rsid w:val="001B531C"/>
    <w:rsid w:val="001C61CD"/>
    <w:rsid w:val="001D0862"/>
    <w:rsid w:val="001E3FD9"/>
    <w:rsid w:val="002103F5"/>
    <w:rsid w:val="002139A9"/>
    <w:rsid w:val="002555BF"/>
    <w:rsid w:val="00267116"/>
    <w:rsid w:val="00294FCC"/>
    <w:rsid w:val="002C4AC4"/>
    <w:rsid w:val="002C52ED"/>
    <w:rsid w:val="0030269B"/>
    <w:rsid w:val="00327A3B"/>
    <w:rsid w:val="003465EB"/>
    <w:rsid w:val="00370816"/>
    <w:rsid w:val="003974D9"/>
    <w:rsid w:val="003B534A"/>
    <w:rsid w:val="003C1447"/>
    <w:rsid w:val="003C3586"/>
    <w:rsid w:val="003C3C81"/>
    <w:rsid w:val="003D6F35"/>
    <w:rsid w:val="00404488"/>
    <w:rsid w:val="0046202C"/>
    <w:rsid w:val="0047214B"/>
    <w:rsid w:val="004949AB"/>
    <w:rsid w:val="004A2BBD"/>
    <w:rsid w:val="004C1A5D"/>
    <w:rsid w:val="004D33A6"/>
    <w:rsid w:val="00522062"/>
    <w:rsid w:val="0053555E"/>
    <w:rsid w:val="00545557"/>
    <w:rsid w:val="00551E64"/>
    <w:rsid w:val="00552EF8"/>
    <w:rsid w:val="0056687C"/>
    <w:rsid w:val="005868DC"/>
    <w:rsid w:val="005A53FE"/>
    <w:rsid w:val="006431A2"/>
    <w:rsid w:val="006971F7"/>
    <w:rsid w:val="006C582C"/>
    <w:rsid w:val="006F7E2E"/>
    <w:rsid w:val="007420CB"/>
    <w:rsid w:val="00742A5F"/>
    <w:rsid w:val="00761161"/>
    <w:rsid w:val="007912C9"/>
    <w:rsid w:val="007A74C5"/>
    <w:rsid w:val="007C74D4"/>
    <w:rsid w:val="007E66A4"/>
    <w:rsid w:val="00811F06"/>
    <w:rsid w:val="0082428F"/>
    <w:rsid w:val="008333FC"/>
    <w:rsid w:val="00841BC4"/>
    <w:rsid w:val="00870CA8"/>
    <w:rsid w:val="008C757B"/>
    <w:rsid w:val="00905084"/>
    <w:rsid w:val="00952D04"/>
    <w:rsid w:val="00953571"/>
    <w:rsid w:val="0096715F"/>
    <w:rsid w:val="009717CF"/>
    <w:rsid w:val="009775CC"/>
    <w:rsid w:val="009A6A19"/>
    <w:rsid w:val="009C1BF7"/>
    <w:rsid w:val="009C54B1"/>
    <w:rsid w:val="009C7342"/>
    <w:rsid w:val="009D1216"/>
    <w:rsid w:val="009D1437"/>
    <w:rsid w:val="009D5C28"/>
    <w:rsid w:val="009E2CCA"/>
    <w:rsid w:val="009F4AB1"/>
    <w:rsid w:val="00A2313E"/>
    <w:rsid w:val="00A47708"/>
    <w:rsid w:val="00A55EFD"/>
    <w:rsid w:val="00A719F9"/>
    <w:rsid w:val="00A72C0A"/>
    <w:rsid w:val="00A77E36"/>
    <w:rsid w:val="00AA3BF9"/>
    <w:rsid w:val="00AB472E"/>
    <w:rsid w:val="00AD45D4"/>
    <w:rsid w:val="00B22C31"/>
    <w:rsid w:val="00B35D96"/>
    <w:rsid w:val="00B4518C"/>
    <w:rsid w:val="00B47D1B"/>
    <w:rsid w:val="00B524BA"/>
    <w:rsid w:val="00B53A49"/>
    <w:rsid w:val="00B72DE4"/>
    <w:rsid w:val="00B824E2"/>
    <w:rsid w:val="00B873F7"/>
    <w:rsid w:val="00BA1A21"/>
    <w:rsid w:val="00BB2368"/>
    <w:rsid w:val="00BE3F00"/>
    <w:rsid w:val="00BE4645"/>
    <w:rsid w:val="00BF41E3"/>
    <w:rsid w:val="00C03B2F"/>
    <w:rsid w:val="00C04A4A"/>
    <w:rsid w:val="00C10A5B"/>
    <w:rsid w:val="00C446F7"/>
    <w:rsid w:val="00C55358"/>
    <w:rsid w:val="00C64700"/>
    <w:rsid w:val="00C8112A"/>
    <w:rsid w:val="00CA327B"/>
    <w:rsid w:val="00CB444D"/>
    <w:rsid w:val="00CC6CBB"/>
    <w:rsid w:val="00D03773"/>
    <w:rsid w:val="00D3481A"/>
    <w:rsid w:val="00D508DE"/>
    <w:rsid w:val="00D611B9"/>
    <w:rsid w:val="00D66F94"/>
    <w:rsid w:val="00D728CB"/>
    <w:rsid w:val="00D7386A"/>
    <w:rsid w:val="00D74222"/>
    <w:rsid w:val="00D97562"/>
    <w:rsid w:val="00DB0013"/>
    <w:rsid w:val="00DB1F0F"/>
    <w:rsid w:val="00E10EB2"/>
    <w:rsid w:val="00E36B2D"/>
    <w:rsid w:val="00E508C6"/>
    <w:rsid w:val="00E61D0D"/>
    <w:rsid w:val="00E62898"/>
    <w:rsid w:val="00E778B7"/>
    <w:rsid w:val="00E814B1"/>
    <w:rsid w:val="00E96635"/>
    <w:rsid w:val="00EB39A2"/>
    <w:rsid w:val="00EC23B3"/>
    <w:rsid w:val="00ED13B1"/>
    <w:rsid w:val="00ED3772"/>
    <w:rsid w:val="00ED3D1D"/>
    <w:rsid w:val="00ED40D6"/>
    <w:rsid w:val="00ED641A"/>
    <w:rsid w:val="00EE32A1"/>
    <w:rsid w:val="00EF485D"/>
    <w:rsid w:val="00F0551E"/>
    <w:rsid w:val="00F12161"/>
    <w:rsid w:val="00F60303"/>
    <w:rsid w:val="00F776BE"/>
    <w:rsid w:val="00F82857"/>
    <w:rsid w:val="00F91421"/>
    <w:rsid w:val="00F927FE"/>
    <w:rsid w:val="00FA73EA"/>
    <w:rsid w:val="00FE2A23"/>
    <w:rsid w:val="00FE5C9E"/>
    <w:rsid w:val="00FE5EE9"/>
    <w:rsid w:val="00FF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870C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CA8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0C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CA8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C40E-CA80-4D4E-BEF7-527A0937B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41</cp:revision>
  <cp:lastPrinted>2023-11-07T12:13:00Z</cp:lastPrinted>
  <dcterms:created xsi:type="dcterms:W3CDTF">2024-02-22T12:44:00Z</dcterms:created>
  <dcterms:modified xsi:type="dcterms:W3CDTF">2024-09-13T06:48:00Z</dcterms:modified>
</cp:coreProperties>
</file>