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02C1" w14:textId="538C231B" w:rsidR="00E508C6" w:rsidRPr="009A27AC" w:rsidRDefault="00E508C6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  <w:r w:rsidRPr="009A27AC">
        <w:rPr>
          <w:rFonts w:ascii="Times New Roman" w:hAnsi="Times New Roman"/>
          <w:b/>
          <w:color w:val="000000"/>
          <w:lang w:val="bg-BG"/>
        </w:rPr>
        <w:t>Приложение №</w:t>
      </w:r>
      <w:r w:rsidR="00F60303" w:rsidRPr="009A27AC">
        <w:rPr>
          <w:rFonts w:ascii="Times New Roman" w:hAnsi="Times New Roman"/>
          <w:b/>
          <w:color w:val="000000"/>
          <w:lang w:val="bg-BG"/>
        </w:rPr>
        <w:t xml:space="preserve"> </w:t>
      </w:r>
      <w:r w:rsidRPr="009A27AC">
        <w:rPr>
          <w:rFonts w:ascii="Times New Roman" w:hAnsi="Times New Roman"/>
          <w:b/>
          <w:color w:val="000000"/>
          <w:lang w:val="bg-BG"/>
        </w:rPr>
        <w:t>1</w:t>
      </w:r>
    </w:p>
    <w:p w14:paraId="1DE44A6E" w14:textId="77777777" w:rsidR="007464C7" w:rsidRDefault="007464C7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</w:p>
    <w:p w14:paraId="06717ABF" w14:textId="77777777" w:rsidR="007464C7" w:rsidRDefault="007464C7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</w:p>
    <w:p w14:paraId="238B4855" w14:textId="5A082B49" w:rsidR="00404488" w:rsidRPr="009A27AC" w:rsidRDefault="00BE3F00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9A27AC">
        <w:rPr>
          <w:rFonts w:ascii="Times New Roman" w:hAnsi="Times New Roman"/>
          <w:b/>
          <w:color w:val="000000"/>
          <w:lang w:val="bg-BG"/>
        </w:rPr>
        <w:t>ТЕХНИЧЕСКА СПЕЦИФИКАЦИЯ</w:t>
      </w:r>
    </w:p>
    <w:p w14:paraId="56C2B718" w14:textId="6B7330F6" w:rsidR="00404488" w:rsidRDefault="00953571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bCs/>
          <w:kern w:val="32"/>
          <w:lang w:val="bg-BG"/>
        </w:rPr>
      </w:pPr>
      <w:r w:rsidRPr="009A27AC">
        <w:rPr>
          <w:rFonts w:ascii="Times New Roman" w:hAnsi="Times New Roman"/>
          <w:b/>
          <w:bCs/>
          <w:kern w:val="32"/>
          <w:lang w:val="bg-BG"/>
        </w:rPr>
        <w:t xml:space="preserve">РАЗДЕЛ А: </w:t>
      </w:r>
      <w:r w:rsidR="00404488" w:rsidRPr="009A27AC">
        <w:rPr>
          <w:rFonts w:ascii="Times New Roman" w:hAnsi="Times New Roman"/>
          <w:b/>
          <w:bCs/>
          <w:kern w:val="32"/>
          <w:lang w:val="bg-BG"/>
        </w:rPr>
        <w:t>ТЕХНИЧЕСКО ЗАДАНИЕ – ПРЕДМЕТ НА ДОГОВОРА</w:t>
      </w:r>
    </w:p>
    <w:p w14:paraId="3D2A415B" w14:textId="77777777" w:rsidR="0079536E" w:rsidRPr="009A27AC" w:rsidRDefault="0079536E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</w:p>
    <w:p w14:paraId="6762E2D3" w14:textId="77777777" w:rsidR="00962F52" w:rsidRPr="009A27AC" w:rsidRDefault="00962F52" w:rsidP="003F0F25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9A27AC">
        <w:rPr>
          <w:rFonts w:ascii="Times New Roman" w:hAnsi="Times New Roman"/>
          <w:color w:val="000000"/>
          <w:lang w:val="bg-BG"/>
        </w:rPr>
        <w:t xml:space="preserve">Предмет на договора е изработката, доставката и монтажа на нови отоплителни контейнери за УПН (уредба за повишаване на налягането) - техническите изисквания са посочени в Ценовата таблица. </w:t>
      </w:r>
    </w:p>
    <w:p w14:paraId="57A4A419" w14:textId="4EAC229F" w:rsidR="00962F52" w:rsidRPr="009A27AC" w:rsidRDefault="00962F52" w:rsidP="003F0F25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9A27AC">
        <w:rPr>
          <w:rFonts w:ascii="Times New Roman" w:hAnsi="Times New Roman"/>
          <w:lang w:val="bg-BG"/>
        </w:rPr>
        <w:t>На</w:t>
      </w:r>
      <w:r w:rsidR="00551EC7" w:rsidRPr="009A27AC">
        <w:rPr>
          <w:rFonts w:ascii="Times New Roman" w:hAnsi="Times New Roman"/>
          <w:lang w:val="bg-BG"/>
        </w:rPr>
        <w:t xml:space="preserve"> </w:t>
      </w:r>
      <w:r w:rsidR="00B61065" w:rsidRPr="009A27AC">
        <w:rPr>
          <w:rFonts w:ascii="Times New Roman" w:hAnsi="Times New Roman"/>
          <w:lang w:val="bg-BG"/>
        </w:rPr>
        <w:t>Изпълнителя</w:t>
      </w:r>
      <w:r w:rsidRPr="009A27AC">
        <w:rPr>
          <w:rFonts w:ascii="Times New Roman" w:hAnsi="Times New Roman"/>
          <w:lang w:val="bg-BG"/>
        </w:rPr>
        <w:t xml:space="preserve"> не са гарантирани количества или продължителност на доставките/дейностите. Възложителят ще поръчва доставки на отоплителни контейнери за УПН, съгласно текущите </w:t>
      </w:r>
      <w:r w:rsidR="00B61065" w:rsidRPr="009A27AC">
        <w:rPr>
          <w:rFonts w:ascii="Times New Roman" w:hAnsi="Times New Roman"/>
          <w:lang w:val="bg-BG"/>
        </w:rPr>
        <w:t>потр</w:t>
      </w:r>
      <w:r w:rsidR="003B47B1" w:rsidRPr="009A27AC">
        <w:rPr>
          <w:rFonts w:ascii="Times New Roman" w:hAnsi="Times New Roman"/>
          <w:lang w:val="bg-BG"/>
        </w:rPr>
        <w:t>е</w:t>
      </w:r>
      <w:r w:rsidR="00B61065" w:rsidRPr="009A27AC">
        <w:rPr>
          <w:rFonts w:ascii="Times New Roman" w:hAnsi="Times New Roman"/>
          <w:lang w:val="bg-BG"/>
        </w:rPr>
        <w:t>бности</w:t>
      </w:r>
      <w:r w:rsidRPr="009A27AC">
        <w:rPr>
          <w:rFonts w:ascii="Times New Roman" w:hAnsi="Times New Roman"/>
          <w:lang w:val="bg-BG"/>
        </w:rPr>
        <w:t>.</w:t>
      </w:r>
    </w:p>
    <w:p w14:paraId="62383F0D" w14:textId="58115AEB" w:rsidR="00962F52" w:rsidRPr="00F7446F" w:rsidRDefault="00962F52" w:rsidP="00F7446F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  <w:rPr>
          <w:rFonts w:ascii="Times New Roman" w:hAnsi="Times New Roman"/>
          <w:color w:val="000000"/>
          <w:lang w:val="bg-BG"/>
        </w:rPr>
      </w:pPr>
      <w:r w:rsidRPr="009A27AC">
        <w:rPr>
          <w:rFonts w:ascii="Times New Roman" w:hAnsi="Times New Roman"/>
          <w:lang w:val="bg-BG"/>
        </w:rPr>
        <w:t>Мястото на изпълнение на дейностите, предмет на договора</w:t>
      </w:r>
      <w:r w:rsidR="00AC39CB" w:rsidRPr="009A27AC">
        <w:rPr>
          <w:rFonts w:ascii="Times New Roman" w:hAnsi="Times New Roman"/>
          <w:lang w:val="bg-BG"/>
        </w:rPr>
        <w:t xml:space="preserve"> е</w:t>
      </w:r>
      <w:r w:rsidRPr="009A27AC">
        <w:rPr>
          <w:rFonts w:ascii="Times New Roman" w:hAnsi="Times New Roman"/>
          <w:lang w:val="bg-BG"/>
        </w:rPr>
        <w:t xml:space="preserve"> на територията на Столична </w:t>
      </w:r>
      <w:r w:rsidRPr="00F7446F">
        <w:rPr>
          <w:rFonts w:ascii="Times New Roman" w:hAnsi="Times New Roman"/>
          <w:color w:val="000000"/>
          <w:lang w:val="bg-BG"/>
        </w:rPr>
        <w:t>община.</w:t>
      </w:r>
    </w:p>
    <w:p w14:paraId="22D7CC1D" w14:textId="47D509D1" w:rsidR="00962F52" w:rsidRPr="009A27AC" w:rsidRDefault="00962F52" w:rsidP="00F7446F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  <w:rPr>
          <w:rStyle w:val="ala54"/>
          <w:rFonts w:ascii="Times New Roman" w:hAnsi="Times New Roman"/>
          <w:lang w:val="bg-BG"/>
        </w:rPr>
      </w:pPr>
      <w:r w:rsidRPr="00F7446F">
        <w:rPr>
          <w:color w:val="000000"/>
        </w:rPr>
        <w:t>Задъ</w:t>
      </w:r>
      <w:r w:rsidRPr="009A27AC">
        <w:rPr>
          <w:rStyle w:val="ala54"/>
          <w:rFonts w:ascii="Times New Roman" w:hAnsi="Times New Roman"/>
          <w:lang w:val="bg-BG"/>
        </w:rPr>
        <w:t xml:space="preserve">лженията на </w:t>
      </w:r>
      <w:r w:rsidR="000535D4" w:rsidRPr="009A27AC">
        <w:rPr>
          <w:rFonts w:ascii="Times New Roman" w:hAnsi="Times New Roman"/>
          <w:lang w:val="bg-BG"/>
        </w:rPr>
        <w:t xml:space="preserve">Изпълнителя </w:t>
      </w:r>
      <w:r w:rsidRPr="009A27AC">
        <w:rPr>
          <w:rStyle w:val="ala54"/>
          <w:rFonts w:ascii="Times New Roman" w:hAnsi="Times New Roman"/>
          <w:lang w:val="bg-BG"/>
        </w:rPr>
        <w:t>по отношение на гаранционния срок запазват действието си до изтичане на уговорения такъв.</w:t>
      </w:r>
    </w:p>
    <w:p w14:paraId="4BBE27B6" w14:textId="77777777" w:rsidR="00962F52" w:rsidRPr="009A27AC" w:rsidRDefault="00962F52" w:rsidP="003F0F25">
      <w:pPr>
        <w:numPr>
          <w:ilvl w:val="0"/>
          <w:numId w:val="34"/>
        </w:numPr>
        <w:tabs>
          <w:tab w:val="left" w:pos="142"/>
        </w:tabs>
        <w:spacing w:before="120" w:after="120"/>
        <w:ind w:left="284" w:hanging="290"/>
        <w:jc w:val="both"/>
        <w:rPr>
          <w:rFonts w:ascii="Times New Roman" w:hAnsi="Times New Roman"/>
          <w:b/>
          <w:lang w:val="bg-BG"/>
        </w:rPr>
      </w:pPr>
      <w:r w:rsidRPr="009A27AC">
        <w:rPr>
          <w:rFonts w:ascii="Times New Roman" w:hAnsi="Times New Roman"/>
          <w:b/>
          <w:lang w:val="bg-BG"/>
        </w:rPr>
        <w:t>Срокове на изпълнение:</w:t>
      </w:r>
    </w:p>
    <w:p w14:paraId="59064D47" w14:textId="77777777" w:rsidR="00962F52" w:rsidRPr="009A27AC" w:rsidRDefault="00962F52" w:rsidP="003F0F25">
      <w:pPr>
        <w:tabs>
          <w:tab w:val="left" w:pos="142"/>
          <w:tab w:val="left" w:pos="768"/>
        </w:tabs>
        <w:autoSpaceDE w:val="0"/>
        <w:autoSpaceDN w:val="0"/>
        <w:adjustRightInd w:val="0"/>
        <w:spacing w:before="120" w:after="120"/>
        <w:ind w:left="-6"/>
        <w:jc w:val="both"/>
        <w:rPr>
          <w:rFonts w:ascii="Times New Roman" w:hAnsi="Times New Roman"/>
          <w:color w:val="000000"/>
          <w:lang w:val="bg-BG"/>
        </w:rPr>
      </w:pPr>
      <w:r w:rsidRPr="009A27AC">
        <w:rPr>
          <w:rFonts w:ascii="Times New Roman" w:hAnsi="Times New Roman"/>
          <w:color w:val="000000"/>
          <w:lang w:val="bg-BG" w:eastAsia="ru-RU"/>
        </w:rPr>
        <w:t>Времето за изработка, доставка и монтаж на нов отоплителен контейнер, след писмено възлагане по електронна поща от страна на Възложителя е до 20 работни дни.</w:t>
      </w:r>
    </w:p>
    <w:p w14:paraId="61CF86AA" w14:textId="6A9490F4" w:rsidR="009A27AC" w:rsidRPr="009A27AC" w:rsidRDefault="00962F52" w:rsidP="003F0F25">
      <w:pPr>
        <w:widowControl w:val="0"/>
        <w:numPr>
          <w:ilvl w:val="0"/>
          <w:numId w:val="35"/>
        </w:numPr>
        <w:tabs>
          <w:tab w:val="left" w:pos="35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/>
          <w:color w:val="000000"/>
          <w:lang w:val="bg-BG"/>
        </w:rPr>
      </w:pPr>
      <w:r w:rsidRPr="009A27AC">
        <w:rPr>
          <w:rFonts w:ascii="Times New Roman" w:hAnsi="Times New Roman"/>
          <w:b/>
          <w:color w:val="000000"/>
          <w:lang w:val="bg-BG" w:eastAsia="ru-RU"/>
        </w:rPr>
        <w:t>Изисквания към изпълнението на договора:</w:t>
      </w:r>
    </w:p>
    <w:p w14:paraId="593FE6C6" w14:textId="03DD5B99" w:rsidR="009A27AC" w:rsidRPr="009A27AC" w:rsidRDefault="009A27AC" w:rsidP="003F0F25">
      <w:pPr>
        <w:keepNext/>
        <w:keepLines/>
        <w:tabs>
          <w:tab w:val="left" w:pos="284"/>
        </w:tabs>
        <w:spacing w:before="120" w:after="120"/>
        <w:ind w:left="426" w:hanging="426"/>
        <w:jc w:val="both"/>
        <w:rPr>
          <w:rFonts w:ascii="Times New Roman" w:hAnsi="Times New Roman"/>
          <w:color w:val="000000"/>
          <w:lang w:val="bg-BG" w:eastAsia="ru-RU"/>
        </w:rPr>
      </w:pPr>
      <w:r w:rsidRPr="009A27AC">
        <w:rPr>
          <w:rFonts w:ascii="Times New Roman" w:hAnsi="Times New Roman"/>
          <w:color w:val="000000"/>
          <w:lang w:val="bg-BG" w:eastAsia="ru-RU"/>
        </w:rPr>
        <w:t>6.1.</w:t>
      </w:r>
      <w:r w:rsidRPr="009A27AC">
        <w:rPr>
          <w:rFonts w:ascii="Times New Roman" w:hAnsi="Times New Roman"/>
          <w:color w:val="000000"/>
          <w:sz w:val="22"/>
          <w:szCs w:val="22"/>
          <w:lang w:val="bg-BG" w:eastAsia="ru-RU"/>
        </w:rPr>
        <w:t xml:space="preserve"> </w:t>
      </w:r>
      <w:r w:rsidRPr="009A27AC">
        <w:rPr>
          <w:rFonts w:ascii="Times New Roman" w:hAnsi="Times New Roman"/>
          <w:color w:val="000000"/>
          <w:lang w:val="bg-BG" w:eastAsia="ru-RU"/>
        </w:rPr>
        <w:t xml:space="preserve">Възложителят има право, по време на изпълнение на договора, да извършва проверка относно качеството на извършваната работа, без да пречи на работата на </w:t>
      </w:r>
      <w:r w:rsidR="00E82AE2" w:rsidRPr="009A27AC">
        <w:rPr>
          <w:rFonts w:ascii="Times New Roman" w:hAnsi="Times New Roman"/>
          <w:lang w:val="bg-BG"/>
        </w:rPr>
        <w:t>Изпълнителя</w:t>
      </w:r>
      <w:r w:rsidRPr="009A27AC">
        <w:rPr>
          <w:rFonts w:ascii="Times New Roman" w:hAnsi="Times New Roman"/>
          <w:color w:val="000000"/>
          <w:lang w:val="bg-BG" w:eastAsia="ru-RU"/>
        </w:rPr>
        <w:t>.</w:t>
      </w:r>
    </w:p>
    <w:p w14:paraId="30C53FD3" w14:textId="24B7060F" w:rsidR="009A27AC" w:rsidRDefault="0018754A" w:rsidP="003F0F25">
      <w:pPr>
        <w:pStyle w:val="ListParagraph"/>
        <w:keepNext/>
        <w:keepLines/>
        <w:numPr>
          <w:ilvl w:val="1"/>
          <w:numId w:val="37"/>
        </w:numPr>
        <w:tabs>
          <w:tab w:val="left" w:pos="284"/>
        </w:tabs>
        <w:spacing w:before="120" w:after="120"/>
        <w:jc w:val="both"/>
        <w:rPr>
          <w:rFonts w:ascii="Times New Roman" w:hAnsi="Times New Roman"/>
          <w:color w:val="000000"/>
          <w:lang w:val="bg-BG" w:eastAsia="ru-RU"/>
        </w:rPr>
      </w:pPr>
      <w:r>
        <w:rPr>
          <w:rFonts w:ascii="Times New Roman" w:hAnsi="Times New Roman"/>
          <w:color w:val="000000"/>
          <w:lang w:val="bg-BG" w:eastAsia="ru-RU"/>
        </w:rPr>
        <w:t xml:space="preserve"> 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 xml:space="preserve">Възложителят се задължава да осигури правилната експлоатация на техниката, съгласно изискванията на производителя/гаранцията и препоръките на </w:t>
      </w:r>
      <w:r w:rsidR="00E82AE2" w:rsidRPr="009A27AC">
        <w:rPr>
          <w:rFonts w:ascii="Times New Roman" w:hAnsi="Times New Roman"/>
          <w:lang w:val="bg-BG"/>
        </w:rPr>
        <w:t>Изпълнителя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>.</w:t>
      </w:r>
    </w:p>
    <w:p w14:paraId="1C703455" w14:textId="77777777" w:rsidR="00E06EB8" w:rsidRPr="00E06EB8" w:rsidRDefault="00E06EB8" w:rsidP="00E06EB8">
      <w:pPr>
        <w:pStyle w:val="ListParagraph"/>
        <w:keepNext/>
        <w:keepLines/>
        <w:tabs>
          <w:tab w:val="left" w:pos="284"/>
        </w:tabs>
        <w:spacing w:before="120" w:after="120"/>
        <w:ind w:left="360"/>
        <w:jc w:val="both"/>
        <w:rPr>
          <w:rFonts w:ascii="Times New Roman" w:hAnsi="Times New Roman"/>
          <w:color w:val="000000"/>
          <w:sz w:val="10"/>
          <w:szCs w:val="10"/>
          <w:lang w:val="bg-BG" w:eastAsia="ru-RU"/>
        </w:rPr>
      </w:pPr>
    </w:p>
    <w:p w14:paraId="3B81856E" w14:textId="08FCF530" w:rsidR="00E06EB8" w:rsidRDefault="009A27AC" w:rsidP="00A555B6">
      <w:pPr>
        <w:pStyle w:val="ListParagraph"/>
        <w:keepNext/>
        <w:keepLines/>
        <w:numPr>
          <w:ilvl w:val="1"/>
          <w:numId w:val="37"/>
        </w:numPr>
        <w:tabs>
          <w:tab w:val="left" w:pos="284"/>
        </w:tabs>
        <w:jc w:val="both"/>
        <w:rPr>
          <w:rFonts w:ascii="Times New Roman" w:hAnsi="Times New Roman"/>
          <w:color w:val="000000"/>
          <w:lang w:val="bg-BG" w:eastAsia="ru-RU"/>
        </w:rPr>
      </w:pPr>
      <w:r>
        <w:rPr>
          <w:rFonts w:ascii="Times New Roman" w:hAnsi="Times New Roman"/>
          <w:color w:val="000000"/>
          <w:lang w:val="bg-BG" w:eastAsia="ru-RU"/>
        </w:rPr>
        <w:t xml:space="preserve"> </w:t>
      </w:r>
      <w:r w:rsidRPr="009A27AC">
        <w:rPr>
          <w:rFonts w:ascii="Times New Roman" w:hAnsi="Times New Roman"/>
          <w:color w:val="000000"/>
          <w:lang w:val="bg-BG" w:eastAsia="ru-RU"/>
        </w:rPr>
        <w:t xml:space="preserve">Гаранцията на новоизграден </w:t>
      </w:r>
      <w:r w:rsidRPr="0092796A">
        <w:rPr>
          <w:rFonts w:ascii="Times New Roman" w:hAnsi="Times New Roman"/>
          <w:color w:val="000000"/>
          <w:lang w:val="bg-BG" w:eastAsia="ru-RU"/>
        </w:rPr>
        <w:t>хидрофорен</w:t>
      </w:r>
      <w:r w:rsidRPr="009A27AC">
        <w:rPr>
          <w:rFonts w:ascii="Times New Roman" w:hAnsi="Times New Roman"/>
          <w:color w:val="000000"/>
          <w:lang w:val="bg-BG" w:eastAsia="ru-RU"/>
        </w:rPr>
        <w:t xml:space="preserve"> контейнер е минимум 24 месеца, считано от подписания без възражения от страна на Възложителя приемо-предавателен протокол.</w:t>
      </w:r>
    </w:p>
    <w:p w14:paraId="6B56D966" w14:textId="77777777" w:rsidR="00E06EB8" w:rsidRPr="00E06EB8" w:rsidRDefault="00E06EB8" w:rsidP="00A555B6">
      <w:pPr>
        <w:keepNext/>
        <w:keepLines/>
        <w:tabs>
          <w:tab w:val="left" w:pos="284"/>
        </w:tabs>
        <w:jc w:val="both"/>
        <w:rPr>
          <w:rFonts w:ascii="Times New Roman" w:hAnsi="Times New Roman"/>
          <w:color w:val="000000"/>
          <w:sz w:val="10"/>
          <w:szCs w:val="10"/>
          <w:lang w:val="bg-BG" w:eastAsia="ru-RU"/>
        </w:rPr>
      </w:pPr>
    </w:p>
    <w:p w14:paraId="5355A057" w14:textId="0A7DD264" w:rsidR="009A27AC" w:rsidRDefault="0018754A" w:rsidP="00A555B6">
      <w:pPr>
        <w:pStyle w:val="ListParagraph"/>
        <w:keepNext/>
        <w:keepLines/>
        <w:numPr>
          <w:ilvl w:val="1"/>
          <w:numId w:val="37"/>
        </w:numPr>
        <w:tabs>
          <w:tab w:val="left" w:pos="284"/>
        </w:tabs>
        <w:jc w:val="both"/>
        <w:rPr>
          <w:rFonts w:ascii="Times New Roman" w:hAnsi="Times New Roman"/>
          <w:color w:val="000000"/>
          <w:lang w:val="bg-BG" w:eastAsia="ru-RU"/>
        </w:rPr>
      </w:pPr>
      <w:r>
        <w:rPr>
          <w:rFonts w:ascii="Times New Roman" w:hAnsi="Times New Roman"/>
          <w:color w:val="000000"/>
          <w:lang w:val="bg-BG" w:eastAsia="ru-RU"/>
        </w:rPr>
        <w:t xml:space="preserve"> 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 xml:space="preserve">В случай че в рамките на гаранционния срок се появи повреда на електроинсталации или вложени електроматериали, </w:t>
      </w:r>
      <w:r w:rsidR="00340830" w:rsidRPr="009A27AC">
        <w:rPr>
          <w:rFonts w:ascii="Times New Roman" w:hAnsi="Times New Roman"/>
          <w:lang w:val="bg-BG"/>
        </w:rPr>
        <w:t>Изпълнителя</w:t>
      </w:r>
      <w:r w:rsidR="00340830">
        <w:rPr>
          <w:rFonts w:ascii="Times New Roman" w:hAnsi="Times New Roman"/>
          <w:lang w:val="bg-BG"/>
        </w:rPr>
        <w:t>т</w:t>
      </w:r>
      <w:r w:rsidR="00340830" w:rsidRPr="009A27AC">
        <w:rPr>
          <w:rFonts w:ascii="Times New Roman" w:hAnsi="Times New Roman"/>
          <w:lang w:val="bg-BG"/>
        </w:rPr>
        <w:t xml:space="preserve"> 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>се задължава да подмени дефектиралите части с нови за своя сметка. За подменените нови части започва да тече нова 24</w:t>
      </w:r>
      <w:r w:rsidR="0016211C">
        <w:rPr>
          <w:rFonts w:ascii="Times New Roman" w:hAnsi="Times New Roman"/>
          <w:color w:val="000000"/>
          <w:lang w:val="bg-BG" w:eastAsia="ru-RU"/>
        </w:rPr>
        <w:t>-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 xml:space="preserve">месечна гаранция, считано от датата на новата доставка. Това условие е валидно само в случай, че дефектите не са резултат от погрешен избор на продуктите и изделията, неправилен монтаж, лоша експлоатация и поддръжка от страна на </w:t>
      </w:r>
      <w:r w:rsidR="00B07AFB">
        <w:rPr>
          <w:rFonts w:ascii="Times New Roman" w:hAnsi="Times New Roman"/>
          <w:color w:val="000000"/>
          <w:lang w:val="bg-BG" w:eastAsia="ru-RU"/>
        </w:rPr>
        <w:t>В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 xml:space="preserve">ъзложителя или форсмажорни причини. Гаранционната поддръжка важи за срока на гаранцията и не е обвързана със срока на договора. </w:t>
      </w:r>
      <w:r w:rsidR="00B07AFB" w:rsidRPr="009A27AC">
        <w:rPr>
          <w:rFonts w:ascii="Times New Roman" w:hAnsi="Times New Roman"/>
          <w:lang w:val="bg-BG"/>
        </w:rPr>
        <w:t>Изпълнителя</w:t>
      </w:r>
      <w:r w:rsidR="00B07AFB">
        <w:rPr>
          <w:rFonts w:ascii="Times New Roman" w:hAnsi="Times New Roman"/>
          <w:lang w:val="bg-BG"/>
        </w:rPr>
        <w:t>т</w:t>
      </w:r>
      <w:r w:rsidR="00B07AFB" w:rsidRPr="009A27AC">
        <w:rPr>
          <w:rFonts w:ascii="Times New Roman" w:hAnsi="Times New Roman"/>
          <w:lang w:val="bg-BG"/>
        </w:rPr>
        <w:t xml:space="preserve"> 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>отстранява повредата в определен от Контролиращия служител на Възложителя срок.</w:t>
      </w:r>
    </w:p>
    <w:p w14:paraId="17FCFCA7" w14:textId="77777777" w:rsidR="00E06EB8" w:rsidRPr="00E06EB8" w:rsidRDefault="00E06EB8" w:rsidP="00A555B6">
      <w:pPr>
        <w:keepNext/>
        <w:keepLines/>
        <w:tabs>
          <w:tab w:val="left" w:pos="284"/>
        </w:tabs>
        <w:jc w:val="both"/>
        <w:rPr>
          <w:rFonts w:ascii="Times New Roman" w:hAnsi="Times New Roman"/>
          <w:color w:val="000000"/>
          <w:sz w:val="10"/>
          <w:szCs w:val="10"/>
          <w:lang w:val="bg-BG" w:eastAsia="ru-RU"/>
        </w:rPr>
      </w:pPr>
    </w:p>
    <w:p w14:paraId="7D03809E" w14:textId="02A433C7" w:rsidR="009A27AC" w:rsidRDefault="0018754A" w:rsidP="00A555B6">
      <w:pPr>
        <w:pStyle w:val="ListParagraph"/>
        <w:keepNext/>
        <w:keepLines/>
        <w:numPr>
          <w:ilvl w:val="1"/>
          <w:numId w:val="37"/>
        </w:numPr>
        <w:tabs>
          <w:tab w:val="left" w:pos="284"/>
        </w:tabs>
        <w:jc w:val="both"/>
        <w:rPr>
          <w:rFonts w:ascii="Times New Roman" w:hAnsi="Times New Roman"/>
          <w:color w:val="000000"/>
          <w:lang w:val="bg-BG" w:eastAsia="ru-RU"/>
        </w:rPr>
      </w:pPr>
      <w:r>
        <w:rPr>
          <w:rFonts w:ascii="Times New Roman" w:hAnsi="Times New Roman"/>
          <w:color w:val="000000"/>
          <w:lang w:val="bg-BG" w:eastAsia="ru-RU"/>
        </w:rPr>
        <w:t xml:space="preserve"> 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 xml:space="preserve">Всички допълнителни разходи в рамките на гаранционния срок (транспорт, доставка, подмяна и др.) са за сметка на </w:t>
      </w:r>
      <w:r w:rsidR="00B07AFB" w:rsidRPr="009A27AC">
        <w:rPr>
          <w:rFonts w:ascii="Times New Roman" w:hAnsi="Times New Roman"/>
          <w:lang w:val="bg-BG"/>
        </w:rPr>
        <w:t>Изпълнителя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>.</w:t>
      </w:r>
    </w:p>
    <w:p w14:paraId="7062FB02" w14:textId="77777777" w:rsidR="00E06EB8" w:rsidRPr="00E06EB8" w:rsidRDefault="00E06EB8" w:rsidP="00A555B6">
      <w:pPr>
        <w:keepNext/>
        <w:keepLines/>
        <w:tabs>
          <w:tab w:val="left" w:pos="284"/>
        </w:tabs>
        <w:jc w:val="both"/>
        <w:rPr>
          <w:rFonts w:ascii="Times New Roman" w:hAnsi="Times New Roman"/>
          <w:color w:val="000000"/>
          <w:sz w:val="10"/>
          <w:szCs w:val="10"/>
          <w:lang w:val="bg-BG" w:eastAsia="ru-RU"/>
        </w:rPr>
      </w:pPr>
    </w:p>
    <w:p w14:paraId="6AD9667F" w14:textId="77F7F33C" w:rsidR="009A27AC" w:rsidRDefault="0018754A" w:rsidP="00A555B6">
      <w:pPr>
        <w:pStyle w:val="ListParagraph"/>
        <w:keepNext/>
        <w:keepLines/>
        <w:numPr>
          <w:ilvl w:val="1"/>
          <w:numId w:val="37"/>
        </w:numPr>
        <w:tabs>
          <w:tab w:val="left" w:pos="284"/>
        </w:tabs>
        <w:jc w:val="both"/>
        <w:rPr>
          <w:rFonts w:ascii="Times New Roman" w:hAnsi="Times New Roman"/>
          <w:color w:val="000000"/>
          <w:lang w:val="bg-BG" w:eastAsia="ru-RU"/>
        </w:rPr>
      </w:pPr>
      <w:r>
        <w:rPr>
          <w:rFonts w:ascii="Times New Roman" w:hAnsi="Times New Roman"/>
          <w:color w:val="000000"/>
          <w:lang w:val="bg-BG" w:eastAsia="ru-RU"/>
        </w:rPr>
        <w:t xml:space="preserve"> 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 xml:space="preserve">В случай че </w:t>
      </w:r>
      <w:r w:rsidR="00DA7CFC" w:rsidRPr="009A27AC">
        <w:rPr>
          <w:rFonts w:ascii="Times New Roman" w:hAnsi="Times New Roman"/>
          <w:lang w:val="bg-BG"/>
        </w:rPr>
        <w:t>Изпълнителя</w:t>
      </w:r>
      <w:r w:rsidR="00DA7CFC">
        <w:rPr>
          <w:rFonts w:ascii="Times New Roman" w:hAnsi="Times New Roman"/>
          <w:lang w:val="bg-BG"/>
        </w:rPr>
        <w:t>т</w:t>
      </w:r>
      <w:r w:rsidR="00DA7CFC" w:rsidRPr="009A27AC">
        <w:rPr>
          <w:rFonts w:ascii="Times New Roman" w:hAnsi="Times New Roman"/>
          <w:lang w:val="bg-BG"/>
        </w:rPr>
        <w:t xml:space="preserve"> 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>в офертата си се е позовал на капацитета на трето лице за изпълнение</w:t>
      </w:r>
      <w:bookmarkStart w:id="0" w:name="_GoBack"/>
      <w:bookmarkEnd w:id="0"/>
      <w:r w:rsidR="009A27AC" w:rsidRPr="009A27AC">
        <w:rPr>
          <w:rFonts w:ascii="Times New Roman" w:hAnsi="Times New Roman"/>
          <w:color w:val="000000"/>
          <w:lang w:val="bg-BG" w:eastAsia="ru-RU"/>
        </w:rPr>
        <w:t xml:space="preserve"> на поръчката</w:t>
      </w:r>
      <w:r w:rsidR="00A07137">
        <w:rPr>
          <w:rFonts w:ascii="Times New Roman" w:hAnsi="Times New Roman"/>
          <w:color w:val="000000"/>
          <w:lang w:val="bg-BG" w:eastAsia="ru-RU"/>
        </w:rPr>
        <w:t xml:space="preserve">, </w:t>
      </w:r>
      <w:r w:rsidR="009A27AC" w:rsidRPr="009A27AC">
        <w:rPr>
          <w:rFonts w:ascii="Times New Roman" w:hAnsi="Times New Roman"/>
          <w:color w:val="000000"/>
          <w:lang w:val="bg-BG" w:eastAsia="ru-RU"/>
        </w:rPr>
        <w:t>той и третото лице, чийто капацитет е използван за доказване на съответствие с критериите, носят солидарна отговорност.</w:t>
      </w:r>
    </w:p>
    <w:p w14:paraId="27FAC6A0" w14:textId="5AA2BE4B" w:rsidR="007464C7" w:rsidRDefault="007464C7" w:rsidP="007464C7">
      <w:pPr>
        <w:pStyle w:val="ListParagraph"/>
        <w:keepNext/>
        <w:keepLines/>
        <w:tabs>
          <w:tab w:val="left" w:pos="284"/>
        </w:tabs>
        <w:ind w:left="360"/>
        <w:jc w:val="both"/>
        <w:rPr>
          <w:rFonts w:ascii="Times New Roman" w:hAnsi="Times New Roman"/>
          <w:color w:val="000000"/>
          <w:lang w:val="bg-BG" w:eastAsia="ru-RU"/>
        </w:rPr>
      </w:pPr>
    </w:p>
    <w:p w14:paraId="306B18BE" w14:textId="029ED061" w:rsidR="007464C7" w:rsidRDefault="007464C7" w:rsidP="007464C7">
      <w:pPr>
        <w:pStyle w:val="ListParagraph"/>
        <w:keepNext/>
        <w:keepLines/>
        <w:tabs>
          <w:tab w:val="left" w:pos="284"/>
        </w:tabs>
        <w:ind w:left="360"/>
        <w:jc w:val="both"/>
        <w:rPr>
          <w:rFonts w:ascii="Times New Roman" w:hAnsi="Times New Roman"/>
          <w:color w:val="000000"/>
          <w:lang w:val="bg-BG" w:eastAsia="ru-RU"/>
        </w:rPr>
      </w:pPr>
      <w:r>
        <w:rPr>
          <w:rFonts w:ascii="Times New Roman" w:hAnsi="Times New Roman"/>
          <w:color w:val="000000"/>
          <w:lang w:val="bg-BG" w:eastAsia="ru-RU"/>
        </w:rPr>
        <w:br w:type="page"/>
      </w:r>
    </w:p>
    <w:p w14:paraId="21ACC706" w14:textId="77777777" w:rsidR="007464C7" w:rsidRPr="009A27AC" w:rsidRDefault="007464C7" w:rsidP="007464C7">
      <w:pPr>
        <w:pStyle w:val="ListParagraph"/>
        <w:keepNext/>
        <w:keepLines/>
        <w:tabs>
          <w:tab w:val="left" w:pos="284"/>
        </w:tabs>
        <w:ind w:left="360"/>
        <w:jc w:val="both"/>
        <w:rPr>
          <w:rFonts w:ascii="Times New Roman" w:hAnsi="Times New Roman"/>
          <w:color w:val="000000"/>
          <w:lang w:val="bg-BG" w:eastAsia="ru-RU"/>
        </w:rPr>
      </w:pPr>
    </w:p>
    <w:p w14:paraId="3A6E3272" w14:textId="16C7E5CB" w:rsidR="009A27AC" w:rsidRPr="00A31ECB" w:rsidRDefault="009A27AC" w:rsidP="009A27AC">
      <w:pPr>
        <w:keepNext/>
        <w:keepLines/>
        <w:numPr>
          <w:ilvl w:val="0"/>
          <w:numId w:val="35"/>
        </w:numPr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lang w:val="bg-BG"/>
        </w:rPr>
      </w:pPr>
      <w:r w:rsidRPr="00A31ECB">
        <w:rPr>
          <w:rFonts w:ascii="Times New Roman" w:hAnsi="Times New Roman"/>
          <w:b/>
          <w:lang w:val="bg-BG"/>
        </w:rPr>
        <w:t>Ценови таблици</w:t>
      </w:r>
      <w:r w:rsidR="0013789B" w:rsidRPr="00A31ECB">
        <w:rPr>
          <w:rFonts w:ascii="Times New Roman" w:hAnsi="Times New Roman"/>
          <w:b/>
          <w:lang w:val="bg-BG"/>
        </w:rPr>
        <w:t>:</w:t>
      </w:r>
    </w:p>
    <w:p w14:paraId="30921B47" w14:textId="77777777" w:rsidR="009A27AC" w:rsidRPr="009A27AC" w:rsidRDefault="009A27AC" w:rsidP="009A27AC">
      <w:pPr>
        <w:keepNext/>
        <w:keepLines/>
        <w:tabs>
          <w:tab w:val="left" w:pos="284"/>
        </w:tabs>
        <w:suppressAutoHyphens/>
        <w:spacing w:before="120" w:after="120"/>
        <w:jc w:val="center"/>
        <w:rPr>
          <w:rFonts w:ascii="Times New Roman" w:hAnsi="Times New Roman"/>
          <w:b/>
          <w:lang w:val="bg-BG"/>
        </w:rPr>
      </w:pPr>
      <w:r w:rsidRPr="009A27AC">
        <w:rPr>
          <w:rFonts w:ascii="Times New Roman" w:hAnsi="Times New Roman"/>
          <w:b/>
          <w:lang w:val="bg-BG"/>
        </w:rPr>
        <w:t>ЦЕНОВА ТАБЛИЦА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6"/>
        <w:gridCol w:w="1383"/>
        <w:gridCol w:w="1390"/>
      </w:tblGrid>
      <w:tr w:rsidR="009A27AC" w:rsidRPr="00722ABC" w14:paraId="235ACABB" w14:textId="77777777" w:rsidTr="00B13804">
        <w:trPr>
          <w:trHeight w:val="750"/>
        </w:trPr>
        <w:tc>
          <w:tcPr>
            <w:tcW w:w="7576" w:type="dxa"/>
            <w:shd w:val="clear" w:color="auto" w:fill="auto"/>
            <w:vAlign w:val="center"/>
            <w:hideMark/>
          </w:tcPr>
          <w:p w14:paraId="702D40CA" w14:textId="77777777" w:rsidR="009A27AC" w:rsidRPr="00722ABC" w:rsidRDefault="009A27AC" w:rsidP="00D369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722ABC">
              <w:rPr>
                <w:rFonts w:ascii="Times New Roman" w:hAnsi="Times New Roman"/>
                <w:b/>
                <w:bCs/>
                <w:color w:val="000000"/>
                <w:lang w:val="ru-RU" w:eastAsia="bg-BG"/>
              </w:rPr>
              <w:t xml:space="preserve">Описание 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31B88F6" w14:textId="77777777" w:rsidR="009A27AC" w:rsidRPr="00722ABC" w:rsidRDefault="009A27AC" w:rsidP="00D369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722ABC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М</w:t>
            </w:r>
            <w:r w:rsidRPr="00722ABC">
              <w:rPr>
                <w:rFonts w:ascii="Times New Roman" w:hAnsi="Times New Roman"/>
                <w:b/>
                <w:bCs/>
                <w:color w:val="000000"/>
                <w:lang w:val="ru-RU" w:eastAsia="bg-BG"/>
              </w:rPr>
              <w:t>ярка/Бр.</w:t>
            </w:r>
          </w:p>
        </w:tc>
        <w:tc>
          <w:tcPr>
            <w:tcW w:w="1390" w:type="dxa"/>
            <w:shd w:val="clear" w:color="auto" w:fill="auto"/>
            <w:hideMark/>
          </w:tcPr>
          <w:p w14:paraId="2261F759" w14:textId="77777777" w:rsidR="009A27AC" w:rsidRPr="00722ABC" w:rsidRDefault="009A27AC" w:rsidP="00D369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722ABC">
              <w:rPr>
                <w:rFonts w:ascii="Times New Roman" w:hAnsi="Times New Roman"/>
                <w:b/>
                <w:bCs/>
                <w:color w:val="000000"/>
                <w:lang w:val="ru-RU" w:eastAsia="bg-BG"/>
              </w:rPr>
              <w:t>Цена в лева без ДДС за бр.</w:t>
            </w:r>
          </w:p>
        </w:tc>
      </w:tr>
      <w:tr w:rsidR="00B13804" w:rsidRPr="00722ABC" w14:paraId="26C7FC44" w14:textId="77777777" w:rsidTr="00B13804">
        <w:trPr>
          <w:trHeight w:val="503"/>
        </w:trPr>
        <w:tc>
          <w:tcPr>
            <w:tcW w:w="7576" w:type="dxa"/>
            <w:tcBorders>
              <w:right w:val="single" w:sz="6" w:space="0" w:color="auto"/>
            </w:tcBorders>
            <w:shd w:val="clear" w:color="auto" w:fill="auto"/>
            <w:hideMark/>
          </w:tcPr>
          <w:p w14:paraId="049193C4" w14:textId="189ACFA8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Изработка</w:t>
            </w:r>
            <w:r w:rsidRPr="00722ABC">
              <w:rPr>
                <w:rFonts w:ascii="Times New Roman" w:hAnsi="Times New Roman"/>
                <w:color w:val="000000"/>
                <w:lang w:val="bg-BG" w:eastAsia="ru-RU"/>
              </w:rPr>
              <w:t>, доставка</w:t>
            </w: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 xml:space="preserve"> и монтаж на нов отоплителен контейнер за УПН, което включва:</w:t>
            </w:r>
          </w:p>
          <w:p w14:paraId="77A0BAD7" w14:textId="77777777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-табло размразяване</w:t>
            </w:r>
          </w:p>
          <w:p w14:paraId="6C2CD23F" w14:textId="6ED3A683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-електронен терморегулатор с диапазон</w:t>
            </w:r>
            <w:r w:rsidRPr="00722ABC">
              <w:rPr>
                <w:rFonts w:ascii="Times New Roman" w:hAnsi="Times New Roman"/>
                <w:color w:val="000000"/>
                <w:lang w:val="en-US" w:eastAsia="ru-RU"/>
              </w:rPr>
              <w:t xml:space="preserve"> </w:t>
            </w:r>
            <w:r w:rsidR="00AF2F5D">
              <w:rPr>
                <w:rFonts w:ascii="Times New Roman" w:hAnsi="Times New Roman"/>
                <w:color w:val="000000"/>
                <w:lang w:val="bg-BG" w:eastAsia="ru-RU"/>
              </w:rPr>
              <w:t>-</w:t>
            </w:r>
            <w:r w:rsidRPr="0092796A">
              <w:rPr>
                <w:rFonts w:ascii="Times New Roman" w:hAnsi="Times New Roman"/>
                <w:color w:val="000000"/>
                <w:lang w:val="en-US" w:eastAsia="ru-RU"/>
              </w:rPr>
              <w:t>10°</w:t>
            </w:r>
            <w:r w:rsidR="00AF2F5D">
              <w:rPr>
                <w:rFonts w:ascii="Times New Roman" w:hAnsi="Times New Roman"/>
                <w:color w:val="000000"/>
                <w:lang w:val="bg-BG" w:eastAsia="ru-RU"/>
              </w:rPr>
              <w:t>-</w:t>
            </w:r>
            <w:r w:rsidR="00D86945" w:rsidRPr="0092796A">
              <w:rPr>
                <w:rFonts w:ascii="Times New Roman" w:hAnsi="Times New Roman"/>
                <w:color w:val="000000"/>
                <w:lang w:val="bg-BG" w:eastAsia="ru-RU"/>
              </w:rPr>
              <w:t xml:space="preserve"> </w:t>
            </w:r>
            <w:r w:rsidRPr="0092796A">
              <w:rPr>
                <w:rFonts w:ascii="Times New Roman" w:hAnsi="Times New Roman"/>
                <w:color w:val="000000"/>
                <w:lang w:val="en-US" w:eastAsia="ru-RU"/>
              </w:rPr>
              <w:t>+10</w:t>
            </w:r>
            <w:r w:rsidRPr="00722ABC">
              <w:rPr>
                <w:rFonts w:ascii="Times New Roman" w:hAnsi="Times New Roman"/>
                <w:color w:val="000000"/>
                <w:lang w:val="en-US" w:eastAsia="ru-RU"/>
              </w:rPr>
              <w:t>°</w:t>
            </w:r>
          </w:p>
          <w:p w14:paraId="0E8ABCBE" w14:textId="77777777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 xml:space="preserve">-нагревателен конвекторен елемент - </w:t>
            </w:r>
            <w:r w:rsidRPr="00722ABC">
              <w:rPr>
                <w:rFonts w:ascii="Times New Roman" w:hAnsi="Times New Roman"/>
                <w:color w:val="000000"/>
                <w:lang w:val="en-US" w:eastAsia="ru-RU"/>
              </w:rPr>
              <w:t xml:space="preserve">300W/220V </w:t>
            </w: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със защитна решетка</w:t>
            </w:r>
          </w:p>
          <w:p w14:paraId="7B777041" w14:textId="1C661D88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Захранващ кабел, Кабел гъвкав 3X1,</w:t>
            </w:r>
            <w:r w:rsidR="001D5AA7">
              <w:rPr>
                <w:rFonts w:ascii="Times New Roman" w:hAnsi="Times New Roman"/>
                <w:color w:val="000000"/>
                <w:lang w:val="ru-RU" w:eastAsia="ru-RU"/>
              </w:rPr>
              <w:t xml:space="preserve"> </w:t>
            </w: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5 мм</w:t>
            </w:r>
            <w:r w:rsidRPr="00722ABC">
              <w:rPr>
                <w:rFonts w:ascii="Times New Roman" w:hAnsi="Times New Roman"/>
                <w:color w:val="000000"/>
                <w:vertAlign w:val="superscript"/>
                <w:lang w:val="ru-RU" w:eastAsia="ru-RU"/>
              </w:rPr>
              <w:t>2</w:t>
            </w: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 xml:space="preserve">, предпазител - дефектнотокова защита 25А/30тА от главното </w:t>
            </w:r>
            <w:r w:rsidRPr="0092796A">
              <w:rPr>
                <w:rFonts w:ascii="Times New Roman" w:hAnsi="Times New Roman"/>
                <w:color w:val="000000"/>
                <w:lang w:val="ru-RU" w:eastAsia="ru-RU"/>
              </w:rPr>
              <w:t>та</w:t>
            </w:r>
            <w:r w:rsidR="00953B07" w:rsidRPr="0092796A">
              <w:rPr>
                <w:rFonts w:ascii="Times New Roman" w:hAnsi="Times New Roman"/>
                <w:color w:val="000000"/>
                <w:lang w:val="ru-RU" w:eastAsia="ru-RU"/>
              </w:rPr>
              <w:t>б</w:t>
            </w:r>
            <w:r w:rsidRPr="0092796A">
              <w:rPr>
                <w:rFonts w:ascii="Times New Roman" w:hAnsi="Times New Roman"/>
                <w:color w:val="000000"/>
                <w:lang w:val="ru-RU" w:eastAsia="ru-RU"/>
              </w:rPr>
              <w:t>ло</w:t>
            </w: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 xml:space="preserve"> до табло  размразяване, (кабел</w:t>
            </w:r>
            <w:r w:rsidR="001D5AA7">
              <w:rPr>
                <w:rFonts w:ascii="Times New Roman" w:hAnsi="Times New Roman"/>
                <w:color w:val="000000"/>
                <w:lang w:val="ru-RU" w:eastAsia="ru-RU"/>
              </w:rPr>
              <w:t>ът</w:t>
            </w: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 xml:space="preserve"> е положен в PVC гофрирана тръба със сила на натиск 320 N / 5 cm  и диелектричната якост 2000 V при токова честота 50 Hz, укрепен за пода със скоби)</w:t>
            </w:r>
          </w:p>
          <w:p w14:paraId="301A6666" w14:textId="77777777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- Алуминиев профил за конструкцията на контейнера</w:t>
            </w:r>
          </w:p>
          <w:p w14:paraId="7FD72966" w14:textId="7FEDDA57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bg-BG" w:eastAsia="ru-RU"/>
              </w:rPr>
              <w:t xml:space="preserve">- </w:t>
            </w:r>
            <w:r w:rsidRPr="00722ABC">
              <w:rPr>
                <w:rFonts w:ascii="Times New Roman" w:hAnsi="Times New Roman"/>
                <w:color w:val="000000"/>
                <w:lang w:val="en-US" w:eastAsia="ru-RU"/>
              </w:rPr>
              <w:t xml:space="preserve">PVC </w:t>
            </w: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Термо</w:t>
            </w:r>
            <w:proofErr w:type="spellStart"/>
            <w:r w:rsidRPr="00722ABC">
              <w:rPr>
                <w:rFonts w:ascii="Times New Roman" w:hAnsi="Times New Roman"/>
                <w:color w:val="000000"/>
                <w:lang w:eastAsia="ru-RU"/>
              </w:rPr>
              <w:t>панел</w:t>
            </w:r>
            <w:proofErr w:type="spellEnd"/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на плоскост 20</w:t>
            </w:r>
            <w:r w:rsidR="001D5AA7">
              <w:rPr>
                <w:rFonts w:ascii="Times New Roman" w:hAnsi="Times New Roman"/>
                <w:color w:val="000000"/>
                <w:lang w:val="ru-RU" w:eastAsia="ru-RU"/>
              </w:rPr>
              <w:t xml:space="preserve"> </w:t>
            </w: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мм (за стените и покрива)</w:t>
            </w:r>
          </w:p>
          <w:p w14:paraId="7C5C1FCB" w14:textId="77777777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- Сглобки за алуминиев профил</w:t>
            </w:r>
          </w:p>
          <w:p w14:paraId="753CA4C1" w14:textId="77777777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- Стопер за термоизолационна плоскост</w:t>
            </w:r>
          </w:p>
          <w:p w14:paraId="3289839D" w14:textId="77777777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- Гумено уплътнение за алуминиев профил</w:t>
            </w:r>
          </w:p>
          <w:p w14:paraId="608AEF7B" w14:textId="77777777" w:rsidR="00B13804" w:rsidRPr="00722ABC" w:rsidRDefault="00B13804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22ABC">
              <w:rPr>
                <w:rFonts w:ascii="Times New Roman" w:hAnsi="Times New Roman"/>
                <w:color w:val="000000"/>
                <w:lang w:val="ru-RU" w:eastAsia="ru-RU"/>
              </w:rPr>
              <w:t>- Функционални проби на подгряването на отоплителния контейнер</w:t>
            </w:r>
          </w:p>
        </w:tc>
        <w:tc>
          <w:tcPr>
            <w:tcW w:w="1383" w:type="dxa"/>
            <w:shd w:val="clear" w:color="auto" w:fill="auto"/>
          </w:tcPr>
          <w:p w14:paraId="4D122C88" w14:textId="77777777" w:rsidR="00B13804" w:rsidRPr="00722ABC" w:rsidRDefault="00B13804" w:rsidP="00D369B3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722ABC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1390" w:type="dxa"/>
            <w:shd w:val="clear" w:color="auto" w:fill="auto"/>
            <w:hideMark/>
          </w:tcPr>
          <w:p w14:paraId="4D4337FE" w14:textId="77777777" w:rsidR="00B13804" w:rsidRPr="00722ABC" w:rsidRDefault="00B13804" w:rsidP="00D369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722ABC">
              <w:rPr>
                <w:rFonts w:ascii="Times New Roman" w:hAnsi="Times New Roman"/>
                <w:b/>
                <w:bCs/>
                <w:color w:val="000000"/>
                <w:lang w:val="en-US" w:eastAsia="bg-BG"/>
              </w:rPr>
              <w:t> </w:t>
            </w:r>
          </w:p>
        </w:tc>
      </w:tr>
    </w:tbl>
    <w:p w14:paraId="6125933E" w14:textId="77777777" w:rsidR="009A27AC" w:rsidRPr="009A27AC" w:rsidRDefault="009A27AC" w:rsidP="009A27AC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z w:val="22"/>
          <w:szCs w:val="22"/>
          <w:lang w:val="bg-BG"/>
        </w:rPr>
      </w:pPr>
    </w:p>
    <w:p w14:paraId="010D1F09" w14:textId="77777777" w:rsidR="009A27AC" w:rsidRPr="009A27AC" w:rsidRDefault="009A27AC" w:rsidP="009A27AC">
      <w:pPr>
        <w:rPr>
          <w:rFonts w:ascii="Times New Roman" w:hAnsi="Times New Roman"/>
          <w:lang w:val="bg-BG"/>
        </w:rPr>
      </w:pPr>
    </w:p>
    <w:p w14:paraId="716E1AD8" w14:textId="719811F6" w:rsidR="00962F52" w:rsidRPr="009A27AC" w:rsidRDefault="00962F52" w:rsidP="009A27AC">
      <w:pPr>
        <w:tabs>
          <w:tab w:val="left" w:pos="972"/>
        </w:tabs>
        <w:rPr>
          <w:rFonts w:ascii="Times New Roman" w:hAnsi="Times New Roman"/>
          <w:vanish/>
          <w:color w:val="000000"/>
          <w:lang w:val="bg-BG" w:eastAsia="ru-RU"/>
        </w:rPr>
      </w:pPr>
    </w:p>
    <w:sectPr w:rsidR="00962F52" w:rsidRPr="009A27AC" w:rsidSect="007464C7">
      <w:pgSz w:w="11906" w:h="16838" w:code="9"/>
      <w:pgMar w:top="1135" w:right="991" w:bottom="1134" w:left="1417" w:header="709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7CB2C" w14:textId="77777777" w:rsidR="000C40D9" w:rsidRDefault="000C40D9" w:rsidP="00223FC5">
      <w:r>
        <w:separator/>
      </w:r>
    </w:p>
  </w:endnote>
  <w:endnote w:type="continuationSeparator" w:id="0">
    <w:p w14:paraId="41F51D89" w14:textId="77777777" w:rsidR="000C40D9" w:rsidRDefault="000C40D9" w:rsidP="0022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A2B49" w14:textId="77777777" w:rsidR="000C40D9" w:rsidRDefault="000C40D9" w:rsidP="00223FC5">
      <w:r>
        <w:separator/>
      </w:r>
    </w:p>
  </w:footnote>
  <w:footnote w:type="continuationSeparator" w:id="0">
    <w:p w14:paraId="6830CDBF" w14:textId="77777777" w:rsidR="000C40D9" w:rsidRDefault="000C40D9" w:rsidP="00223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D13470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2C5F6D"/>
    <w:multiLevelType w:val="multilevel"/>
    <w:tmpl w:val="6720BD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9" w15:restartNumberingAfterBreak="0">
    <w:nsid w:val="177E61E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F315943"/>
    <w:multiLevelType w:val="hybridMultilevel"/>
    <w:tmpl w:val="E92E29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6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8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7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29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7EC6945"/>
    <w:multiLevelType w:val="multilevel"/>
    <w:tmpl w:val="1646C030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2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CA138D"/>
    <w:multiLevelType w:val="multilevel"/>
    <w:tmpl w:val="9F308EB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0D1DC9"/>
    <w:multiLevelType w:val="multilevel"/>
    <w:tmpl w:val="E9D4F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3"/>
  </w:num>
  <w:num w:numId="4">
    <w:abstractNumId w:val="21"/>
  </w:num>
  <w:num w:numId="5">
    <w:abstractNumId w:val="33"/>
  </w:num>
  <w:num w:numId="6">
    <w:abstractNumId w:val="6"/>
  </w:num>
  <w:num w:numId="7">
    <w:abstractNumId w:val="10"/>
  </w:num>
  <w:num w:numId="8">
    <w:abstractNumId w:val="8"/>
  </w:num>
  <w:num w:numId="9">
    <w:abstractNumId w:val="16"/>
  </w:num>
  <w:num w:numId="10">
    <w:abstractNumId w:val="17"/>
  </w:num>
  <w:num w:numId="11">
    <w:abstractNumId w:val="1"/>
  </w:num>
  <w:num w:numId="12">
    <w:abstractNumId w:val="13"/>
  </w:num>
  <w:num w:numId="13">
    <w:abstractNumId w:val="28"/>
  </w:num>
  <w:num w:numId="14">
    <w:abstractNumId w:val="0"/>
  </w:num>
  <w:num w:numId="15">
    <w:abstractNumId w:val="23"/>
  </w:num>
  <w:num w:numId="16">
    <w:abstractNumId w:val="32"/>
  </w:num>
  <w:num w:numId="17">
    <w:abstractNumId w:val="31"/>
  </w:num>
  <w:num w:numId="18">
    <w:abstractNumId w:val="29"/>
  </w:num>
  <w:num w:numId="19">
    <w:abstractNumId w:val="5"/>
  </w:num>
  <w:num w:numId="20">
    <w:abstractNumId w:val="27"/>
  </w:num>
  <w:num w:numId="21">
    <w:abstractNumId w:val="19"/>
  </w:num>
  <w:num w:numId="22">
    <w:abstractNumId w:val="25"/>
  </w:num>
  <w:num w:numId="23">
    <w:abstractNumId w:val="7"/>
  </w:num>
  <w:num w:numId="24">
    <w:abstractNumId w:val="20"/>
  </w:num>
  <w:num w:numId="25">
    <w:abstractNumId w:val="11"/>
  </w:num>
  <w:num w:numId="26">
    <w:abstractNumId w:val="18"/>
  </w:num>
  <w:num w:numId="27">
    <w:abstractNumId w:val="26"/>
  </w:num>
  <w:num w:numId="28">
    <w:abstractNumId w:val="22"/>
  </w:num>
  <w:num w:numId="29">
    <w:abstractNumId w:val="2"/>
  </w:num>
  <w:num w:numId="30">
    <w:abstractNumId w:val="14"/>
  </w:num>
  <w:num w:numId="31">
    <w:abstractNumId w:val="9"/>
  </w:num>
  <w:num w:numId="32">
    <w:abstractNumId w:val="12"/>
  </w:num>
  <w:num w:numId="33">
    <w:abstractNumId w:val="30"/>
  </w:num>
  <w:num w:numId="34">
    <w:abstractNumId w:val="35"/>
  </w:num>
  <w:num w:numId="35">
    <w:abstractNumId w:val="34"/>
  </w:num>
  <w:num w:numId="36">
    <w:abstractNumId w:val="3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07C55"/>
    <w:rsid w:val="00022061"/>
    <w:rsid w:val="0002474B"/>
    <w:rsid w:val="0003059C"/>
    <w:rsid w:val="00032E57"/>
    <w:rsid w:val="00034D56"/>
    <w:rsid w:val="000535D4"/>
    <w:rsid w:val="0005701A"/>
    <w:rsid w:val="0006175A"/>
    <w:rsid w:val="00065E87"/>
    <w:rsid w:val="000A4E36"/>
    <w:rsid w:val="000B6FB5"/>
    <w:rsid w:val="000C40D9"/>
    <w:rsid w:val="000C5757"/>
    <w:rsid w:val="000F61C2"/>
    <w:rsid w:val="00134E4E"/>
    <w:rsid w:val="0013789B"/>
    <w:rsid w:val="00145799"/>
    <w:rsid w:val="0016191E"/>
    <w:rsid w:val="0016211C"/>
    <w:rsid w:val="0016585F"/>
    <w:rsid w:val="0017542A"/>
    <w:rsid w:val="0018200B"/>
    <w:rsid w:val="0018754A"/>
    <w:rsid w:val="001A4811"/>
    <w:rsid w:val="001B531C"/>
    <w:rsid w:val="001C3537"/>
    <w:rsid w:val="001C61CD"/>
    <w:rsid w:val="001D5AA7"/>
    <w:rsid w:val="001E3FD9"/>
    <w:rsid w:val="0020008F"/>
    <w:rsid w:val="002103F5"/>
    <w:rsid w:val="002139A9"/>
    <w:rsid w:val="00223FC5"/>
    <w:rsid w:val="002555BF"/>
    <w:rsid w:val="00267116"/>
    <w:rsid w:val="00294ECE"/>
    <w:rsid w:val="00294FCC"/>
    <w:rsid w:val="0030269B"/>
    <w:rsid w:val="00340830"/>
    <w:rsid w:val="003465EB"/>
    <w:rsid w:val="00370816"/>
    <w:rsid w:val="003B47B1"/>
    <w:rsid w:val="003B534A"/>
    <w:rsid w:val="003C1447"/>
    <w:rsid w:val="003C3586"/>
    <w:rsid w:val="003C3C81"/>
    <w:rsid w:val="003D6F35"/>
    <w:rsid w:val="003F0F25"/>
    <w:rsid w:val="00404488"/>
    <w:rsid w:val="0046202C"/>
    <w:rsid w:val="0047214B"/>
    <w:rsid w:val="004949AB"/>
    <w:rsid w:val="004A2BBD"/>
    <w:rsid w:val="004C1A5D"/>
    <w:rsid w:val="004D0E32"/>
    <w:rsid w:val="004D33A6"/>
    <w:rsid w:val="00522062"/>
    <w:rsid w:val="00545557"/>
    <w:rsid w:val="00551E64"/>
    <w:rsid w:val="00551EC7"/>
    <w:rsid w:val="00552EF8"/>
    <w:rsid w:val="005570A8"/>
    <w:rsid w:val="0056687C"/>
    <w:rsid w:val="005A53FE"/>
    <w:rsid w:val="005C39B3"/>
    <w:rsid w:val="00612E1C"/>
    <w:rsid w:val="006431A2"/>
    <w:rsid w:val="00674658"/>
    <w:rsid w:val="006971F7"/>
    <w:rsid w:val="006C582C"/>
    <w:rsid w:val="006F7E2E"/>
    <w:rsid w:val="00722ABC"/>
    <w:rsid w:val="007420CB"/>
    <w:rsid w:val="00742A5F"/>
    <w:rsid w:val="007464C7"/>
    <w:rsid w:val="00761161"/>
    <w:rsid w:val="00786665"/>
    <w:rsid w:val="007912C9"/>
    <w:rsid w:val="0079536E"/>
    <w:rsid w:val="007A74C5"/>
    <w:rsid w:val="007C74D4"/>
    <w:rsid w:val="007E66A4"/>
    <w:rsid w:val="00811F06"/>
    <w:rsid w:val="0082428F"/>
    <w:rsid w:val="008333FC"/>
    <w:rsid w:val="008C757B"/>
    <w:rsid w:val="008D71F5"/>
    <w:rsid w:val="0092796A"/>
    <w:rsid w:val="00952D04"/>
    <w:rsid w:val="00953571"/>
    <w:rsid w:val="00953B07"/>
    <w:rsid w:val="00962F52"/>
    <w:rsid w:val="0096715F"/>
    <w:rsid w:val="009717CF"/>
    <w:rsid w:val="009775CC"/>
    <w:rsid w:val="009A27AC"/>
    <w:rsid w:val="009C1BF7"/>
    <w:rsid w:val="009C54B1"/>
    <w:rsid w:val="009C7342"/>
    <w:rsid w:val="009D1216"/>
    <w:rsid w:val="009D1437"/>
    <w:rsid w:val="009D5C28"/>
    <w:rsid w:val="009E2CCA"/>
    <w:rsid w:val="009F4AB1"/>
    <w:rsid w:val="00A07137"/>
    <w:rsid w:val="00A2313E"/>
    <w:rsid w:val="00A31ECB"/>
    <w:rsid w:val="00A449FE"/>
    <w:rsid w:val="00A555B6"/>
    <w:rsid w:val="00A55EFD"/>
    <w:rsid w:val="00A719F9"/>
    <w:rsid w:val="00A736CB"/>
    <w:rsid w:val="00A77E36"/>
    <w:rsid w:val="00AA3BF9"/>
    <w:rsid w:val="00AC39CB"/>
    <w:rsid w:val="00AD45D4"/>
    <w:rsid w:val="00AF2F5D"/>
    <w:rsid w:val="00B07AFB"/>
    <w:rsid w:val="00B13804"/>
    <w:rsid w:val="00B22C31"/>
    <w:rsid w:val="00B35D96"/>
    <w:rsid w:val="00B4518C"/>
    <w:rsid w:val="00B47D1B"/>
    <w:rsid w:val="00B524BA"/>
    <w:rsid w:val="00B61065"/>
    <w:rsid w:val="00B824E2"/>
    <w:rsid w:val="00B873F7"/>
    <w:rsid w:val="00BA1A21"/>
    <w:rsid w:val="00BB2368"/>
    <w:rsid w:val="00BE3F00"/>
    <w:rsid w:val="00BE4645"/>
    <w:rsid w:val="00BE6AC1"/>
    <w:rsid w:val="00BF41E3"/>
    <w:rsid w:val="00C10A5B"/>
    <w:rsid w:val="00C446F7"/>
    <w:rsid w:val="00C55358"/>
    <w:rsid w:val="00C64700"/>
    <w:rsid w:val="00C77F2F"/>
    <w:rsid w:val="00C8112A"/>
    <w:rsid w:val="00CA327B"/>
    <w:rsid w:val="00CB444D"/>
    <w:rsid w:val="00D03773"/>
    <w:rsid w:val="00D06601"/>
    <w:rsid w:val="00D508DE"/>
    <w:rsid w:val="00D611B9"/>
    <w:rsid w:val="00D66F94"/>
    <w:rsid w:val="00D728CB"/>
    <w:rsid w:val="00D74222"/>
    <w:rsid w:val="00D86945"/>
    <w:rsid w:val="00D97562"/>
    <w:rsid w:val="00DA7CFC"/>
    <w:rsid w:val="00DB0013"/>
    <w:rsid w:val="00DB1F0F"/>
    <w:rsid w:val="00E06EB8"/>
    <w:rsid w:val="00E10EB2"/>
    <w:rsid w:val="00E40966"/>
    <w:rsid w:val="00E508C6"/>
    <w:rsid w:val="00E61D0D"/>
    <w:rsid w:val="00E778B7"/>
    <w:rsid w:val="00E814B1"/>
    <w:rsid w:val="00E82AE2"/>
    <w:rsid w:val="00E96635"/>
    <w:rsid w:val="00EB1952"/>
    <w:rsid w:val="00ED13B1"/>
    <w:rsid w:val="00ED3772"/>
    <w:rsid w:val="00ED3D1D"/>
    <w:rsid w:val="00ED40D6"/>
    <w:rsid w:val="00ED641A"/>
    <w:rsid w:val="00EE32A1"/>
    <w:rsid w:val="00F0551E"/>
    <w:rsid w:val="00F60303"/>
    <w:rsid w:val="00F7446F"/>
    <w:rsid w:val="00F776BE"/>
    <w:rsid w:val="00F82857"/>
    <w:rsid w:val="00F91421"/>
    <w:rsid w:val="00F927FE"/>
    <w:rsid w:val="00FE5C9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  <w:style w:type="character" w:customStyle="1" w:styleId="ala54">
    <w:name w:val="al_a54"/>
    <w:rsid w:val="00962F52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223F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FC5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23F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3FC5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72E5C-2F87-4751-8B04-5B4556EF3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8</cp:revision>
  <cp:lastPrinted>2023-11-07T12:13:00Z</cp:lastPrinted>
  <dcterms:created xsi:type="dcterms:W3CDTF">2024-03-28T14:24:00Z</dcterms:created>
  <dcterms:modified xsi:type="dcterms:W3CDTF">2024-03-29T07:20:00Z</dcterms:modified>
</cp:coreProperties>
</file>