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538C231B" w:rsidR="00E508C6" w:rsidRPr="00BE3F00" w:rsidRDefault="00E508C6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BE3F00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>
        <w:rPr>
          <w:rFonts w:ascii="Times New Roman" w:hAnsi="Times New Roman"/>
          <w:b/>
          <w:color w:val="000000"/>
          <w:lang w:val="bg-BG"/>
        </w:rPr>
        <w:t xml:space="preserve"> </w:t>
      </w:r>
      <w:r w:rsidRPr="00BE3F00">
        <w:rPr>
          <w:rFonts w:ascii="Times New Roman" w:hAnsi="Times New Roman"/>
          <w:b/>
          <w:color w:val="000000"/>
          <w:lang w:val="bg-BG"/>
        </w:rPr>
        <w:t>1</w:t>
      </w:r>
    </w:p>
    <w:p w14:paraId="16776FFD" w14:textId="7F0FF195" w:rsidR="00BE3F00" w:rsidRPr="00BE3F00" w:rsidRDefault="00BE3F00" w:rsidP="00E508C6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238B4855" w14:textId="77777777" w:rsidR="00404488" w:rsidRDefault="00BE3F00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BE3F00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56C2B718" w14:textId="4BE3D916" w:rsidR="00404488" w:rsidRPr="00404488" w:rsidRDefault="00953571" w:rsidP="00404488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>
        <w:rPr>
          <w:rFonts w:ascii="Times New Roman" w:hAnsi="Times New Roman"/>
          <w:b/>
          <w:bCs/>
          <w:kern w:val="32"/>
          <w:lang w:val="bg-BG"/>
        </w:rPr>
        <w:t xml:space="preserve">РАЗДЕЛ А: </w:t>
      </w:r>
      <w:r w:rsidR="00404488" w:rsidRPr="00404488">
        <w:rPr>
          <w:rFonts w:ascii="Times New Roman" w:hAnsi="Times New Roman"/>
          <w:b/>
          <w:bCs/>
          <w:kern w:val="32"/>
          <w:lang w:val="bg-BG"/>
        </w:rPr>
        <w:t>ТЕХНИЧЕСКО ЗАДАНИЕ – ПРЕДМЕТ НА ДОГОВОРА</w:t>
      </w:r>
    </w:p>
    <w:p w14:paraId="06F6F940" w14:textId="3C401DE6" w:rsidR="00404488" w:rsidRPr="00C127EA" w:rsidRDefault="002555BF" w:rsidP="002555BF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lang w:val="bg-BG"/>
        </w:rPr>
      </w:pPr>
      <w:r w:rsidRPr="002555BF">
        <w:rPr>
          <w:rFonts w:ascii="Times New Roman" w:hAnsi="Times New Roman"/>
          <w:b/>
          <w:bCs/>
          <w:spacing w:val="-3"/>
          <w:lang w:val="bg-BG"/>
        </w:rPr>
        <w:t>ОБХВАТ</w:t>
      </w:r>
      <w:r w:rsidR="00404488" w:rsidRPr="00C127EA">
        <w:rPr>
          <w:rFonts w:ascii="Times New Roman" w:hAnsi="Times New Roman"/>
          <w:b/>
          <w:bCs/>
          <w:spacing w:val="-3"/>
          <w:lang w:val="bg-BG"/>
        </w:rPr>
        <w:t>:</w:t>
      </w:r>
      <w:r w:rsidR="00404488"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>
        <w:rPr>
          <w:rFonts w:ascii="Times New Roman" w:hAnsi="Times New Roman"/>
          <w:bCs/>
          <w:spacing w:val="-3"/>
          <w:lang w:val="bg-BG"/>
        </w:rPr>
        <w:t>У</w:t>
      </w:r>
      <w:r w:rsidRPr="002555BF">
        <w:rPr>
          <w:rFonts w:ascii="Times New Roman" w:hAnsi="Times New Roman"/>
          <w:bCs/>
          <w:spacing w:val="-3"/>
          <w:lang w:val="bg-BG"/>
        </w:rPr>
        <w:t>слугите, предмет на договора включват следните дейности</w:t>
      </w:r>
      <w:r>
        <w:rPr>
          <w:rFonts w:ascii="Times New Roman" w:hAnsi="Times New Roman"/>
          <w:bCs/>
          <w:spacing w:val="-3"/>
          <w:lang w:val="bg-BG"/>
        </w:rPr>
        <w:t>:</w:t>
      </w:r>
      <w:r w:rsidRPr="002555BF">
        <w:rPr>
          <w:rFonts w:ascii="Times New Roman" w:hAnsi="Times New Roman"/>
          <w:bCs/>
          <w:spacing w:val="-3"/>
          <w:lang w:val="bg-BG"/>
        </w:rPr>
        <w:t xml:space="preserve"> </w:t>
      </w:r>
      <w:r w:rsidR="00404488" w:rsidRPr="00C127EA">
        <w:rPr>
          <w:rFonts w:ascii="Times New Roman" w:hAnsi="Times New Roman"/>
          <w:bCs/>
          <w:spacing w:val="-3"/>
          <w:lang w:val="bg-BG"/>
        </w:rPr>
        <w:t xml:space="preserve">Извънгаранционно сервизно обслужване на </w:t>
      </w:r>
      <w:r w:rsidRPr="002555BF">
        <w:rPr>
          <w:rFonts w:ascii="Times New Roman" w:hAnsi="Times New Roman"/>
          <w:bCs/>
          <w:spacing w:val="-3"/>
          <w:lang w:val="bg-BG"/>
        </w:rPr>
        <w:t>спомагателни лабораторни уреди - термостати, дестилатори, миялни, нагреватели и други</w:t>
      </w:r>
      <w:r>
        <w:rPr>
          <w:rFonts w:ascii="Times New Roman" w:hAnsi="Times New Roman"/>
          <w:bCs/>
          <w:spacing w:val="-3"/>
          <w:lang w:val="bg-BG"/>
        </w:rPr>
        <w:t>,</w:t>
      </w:r>
      <w:r w:rsidRPr="002555BF">
        <w:rPr>
          <w:rFonts w:ascii="Times New Roman" w:hAnsi="Times New Roman"/>
          <w:bCs/>
          <w:spacing w:val="-3"/>
          <w:lang w:val="bg-BG"/>
        </w:rPr>
        <w:t xml:space="preserve"> описани в Таблица</w:t>
      </w:r>
      <w:r>
        <w:rPr>
          <w:rFonts w:ascii="Times New Roman" w:hAnsi="Times New Roman"/>
          <w:bCs/>
          <w:spacing w:val="-3"/>
          <w:lang w:val="bg-BG"/>
        </w:rPr>
        <w:t>-С</w:t>
      </w:r>
      <w:r w:rsidRPr="002555BF">
        <w:rPr>
          <w:rFonts w:ascii="Times New Roman" w:hAnsi="Times New Roman"/>
          <w:bCs/>
          <w:spacing w:val="-3"/>
          <w:lang w:val="bg-BG"/>
        </w:rPr>
        <w:t>рокове №</w:t>
      </w:r>
      <w:r w:rsidR="00B35D96">
        <w:rPr>
          <w:rFonts w:ascii="Times New Roman" w:hAnsi="Times New Roman"/>
          <w:bCs/>
          <w:spacing w:val="-3"/>
          <w:lang w:val="bg-BG"/>
        </w:rPr>
        <w:t xml:space="preserve"> </w:t>
      </w:r>
      <w:r w:rsidRPr="002555BF">
        <w:rPr>
          <w:rFonts w:ascii="Times New Roman" w:hAnsi="Times New Roman"/>
          <w:bCs/>
          <w:spacing w:val="-3"/>
          <w:lang w:val="bg-BG"/>
        </w:rPr>
        <w:t>2</w:t>
      </w:r>
      <w:r>
        <w:rPr>
          <w:rFonts w:ascii="Times New Roman" w:hAnsi="Times New Roman"/>
          <w:bCs/>
          <w:spacing w:val="-3"/>
          <w:lang w:val="bg-BG"/>
        </w:rPr>
        <w:t xml:space="preserve"> </w:t>
      </w:r>
      <w:r w:rsidRPr="002555BF">
        <w:rPr>
          <w:rFonts w:ascii="Times New Roman" w:hAnsi="Times New Roman"/>
          <w:bCs/>
          <w:spacing w:val="-3"/>
          <w:lang w:val="bg-BG"/>
        </w:rPr>
        <w:t>и Ценова таблица №</w:t>
      </w:r>
      <w:r w:rsidR="00B35D96">
        <w:rPr>
          <w:rFonts w:ascii="Times New Roman" w:hAnsi="Times New Roman"/>
          <w:bCs/>
          <w:spacing w:val="-3"/>
          <w:lang w:val="bg-BG"/>
        </w:rPr>
        <w:t xml:space="preserve"> </w:t>
      </w:r>
      <w:r w:rsidRPr="002555BF">
        <w:rPr>
          <w:rFonts w:ascii="Times New Roman" w:hAnsi="Times New Roman"/>
          <w:bCs/>
          <w:spacing w:val="-3"/>
          <w:lang w:val="bg-BG"/>
        </w:rPr>
        <w:t>2</w:t>
      </w:r>
      <w:r w:rsidR="00404488" w:rsidRPr="00C127EA">
        <w:rPr>
          <w:rFonts w:ascii="Times New Roman" w:hAnsi="Times New Roman"/>
          <w:bCs/>
          <w:spacing w:val="-3"/>
          <w:lang w:val="bg-BG"/>
        </w:rPr>
        <w:t>.</w:t>
      </w:r>
      <w:r w:rsidR="00404488" w:rsidRPr="00C127EA">
        <w:rPr>
          <w:rFonts w:ascii="Times New Roman" w:hAnsi="Times New Roman"/>
          <w:lang w:val="bg-BG"/>
        </w:rPr>
        <w:t xml:space="preserve"> </w:t>
      </w:r>
    </w:p>
    <w:p w14:paraId="4BC4C472" w14:textId="6E645830" w:rsidR="00404488" w:rsidRDefault="00404488" w:rsidP="00404488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ИЗИСКВАНИЯ КЪМ СЕРВИЗНОТО ОБСЛУЖВАНЕ НА ЛАБОРАТОРН</w:t>
      </w:r>
      <w:r w:rsidR="00FE5C9E">
        <w:rPr>
          <w:rFonts w:ascii="Times New Roman" w:hAnsi="Times New Roman"/>
          <w:b/>
          <w:bCs/>
          <w:spacing w:val="-3"/>
          <w:lang w:val="bg-BG"/>
        </w:rPr>
        <w:t>И</w:t>
      </w:r>
      <w:r w:rsidRPr="00C127EA">
        <w:rPr>
          <w:rFonts w:ascii="Times New Roman" w:hAnsi="Times New Roman"/>
          <w:b/>
          <w:bCs/>
          <w:spacing w:val="-3"/>
          <w:lang w:val="bg-BG"/>
        </w:rPr>
        <w:t>Т</w:t>
      </w:r>
      <w:r w:rsidR="00FE5C9E">
        <w:rPr>
          <w:rFonts w:ascii="Times New Roman" w:hAnsi="Times New Roman"/>
          <w:b/>
          <w:bCs/>
          <w:spacing w:val="-3"/>
          <w:lang w:val="bg-BG"/>
        </w:rPr>
        <w:t>Е</w:t>
      </w:r>
      <w:r w:rsidRPr="00C127EA">
        <w:rPr>
          <w:rFonts w:ascii="Times New Roman" w:hAnsi="Times New Roman"/>
          <w:b/>
          <w:bCs/>
          <w:spacing w:val="-3"/>
          <w:lang w:val="bg-BG"/>
        </w:rPr>
        <w:t xml:space="preserve"> </w:t>
      </w:r>
      <w:r w:rsidR="00FE5C9E">
        <w:rPr>
          <w:rFonts w:ascii="Times New Roman" w:hAnsi="Times New Roman"/>
          <w:b/>
          <w:bCs/>
          <w:spacing w:val="-3"/>
          <w:lang w:val="bg-BG"/>
        </w:rPr>
        <w:t>УРЕДИ</w:t>
      </w:r>
      <w:r w:rsidRPr="00C127EA">
        <w:rPr>
          <w:rFonts w:ascii="Times New Roman" w:hAnsi="Times New Roman"/>
          <w:b/>
          <w:bCs/>
          <w:spacing w:val="-3"/>
          <w:lang w:val="bg-BG"/>
        </w:rPr>
        <w:t>, ПРЕДМЕТ НА ДОГОВОРА</w:t>
      </w:r>
      <w:r w:rsidRPr="00C127EA">
        <w:rPr>
          <w:rFonts w:ascii="Times New Roman" w:hAnsi="Times New Roman"/>
          <w:bCs/>
          <w:spacing w:val="-3"/>
          <w:lang w:val="bg-BG"/>
        </w:rPr>
        <w:t>:</w:t>
      </w:r>
    </w:p>
    <w:p w14:paraId="1A981663" w14:textId="4C83231F" w:rsidR="007912C9" w:rsidRPr="00C127EA" w:rsidRDefault="007912C9" w:rsidP="007912C9">
      <w:pPr>
        <w:widowControl w:val="0"/>
        <w:tabs>
          <w:tab w:val="left" w:pos="426"/>
        </w:tabs>
        <w:ind w:right="-2"/>
        <w:jc w:val="both"/>
        <w:rPr>
          <w:rFonts w:ascii="Times New Roman" w:hAnsi="Times New Roman"/>
          <w:bCs/>
          <w:spacing w:val="-3"/>
          <w:lang w:val="bg-BG"/>
        </w:rPr>
      </w:pPr>
      <w:r w:rsidRPr="007912C9">
        <w:rPr>
          <w:rFonts w:ascii="Times New Roman" w:hAnsi="Times New Roman"/>
          <w:bCs/>
          <w:spacing w:val="-3"/>
          <w:lang w:val="bg-BG"/>
        </w:rPr>
        <w:t xml:space="preserve">Възложителят възлага, а </w:t>
      </w:r>
      <w:r w:rsidR="009717CF">
        <w:rPr>
          <w:rFonts w:ascii="Times New Roman" w:hAnsi="Times New Roman"/>
          <w:bCs/>
          <w:spacing w:val="-3"/>
          <w:lang w:val="bg-BG"/>
        </w:rPr>
        <w:t>И</w:t>
      </w:r>
      <w:r w:rsidRPr="007912C9">
        <w:rPr>
          <w:rFonts w:ascii="Times New Roman" w:hAnsi="Times New Roman"/>
          <w:bCs/>
          <w:spacing w:val="-3"/>
          <w:lang w:val="bg-BG"/>
        </w:rPr>
        <w:t>зпълнителят приема да извършва сервизно обслужване на лабораторни технически средства, съобразно следните изисквания:</w:t>
      </w:r>
    </w:p>
    <w:p w14:paraId="56B12C18" w14:textId="16D8F5C1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Извършване на профилактичен преглед, настройки и ремонт на посочен</w:t>
      </w:r>
      <w:r w:rsidR="009C1BF7">
        <w:rPr>
          <w:rFonts w:ascii="Times New Roman" w:hAnsi="Times New Roman"/>
          <w:bCs/>
          <w:spacing w:val="-3"/>
          <w:lang w:val="bg-BG"/>
        </w:rPr>
        <w:t>о</w:t>
      </w:r>
      <w:r w:rsidRPr="00C127EA">
        <w:rPr>
          <w:rFonts w:ascii="Times New Roman" w:hAnsi="Times New Roman"/>
          <w:bCs/>
          <w:spacing w:val="-3"/>
          <w:lang w:val="bg-BG"/>
        </w:rPr>
        <w:t>т</w:t>
      </w:r>
      <w:r w:rsidR="009C1BF7">
        <w:rPr>
          <w:rFonts w:ascii="Times New Roman" w:hAnsi="Times New Roman"/>
          <w:bCs/>
          <w:spacing w:val="-3"/>
          <w:lang w:val="bg-BG"/>
        </w:rPr>
        <w:t>о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в т.</w:t>
      </w:r>
      <w:r w:rsidR="009C1BF7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1</w:t>
      </w:r>
      <w:r w:rsidR="009C1BF7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от този раздел лабораторн</w:t>
      </w:r>
      <w:r w:rsidR="009C1BF7">
        <w:rPr>
          <w:rFonts w:ascii="Times New Roman" w:hAnsi="Times New Roman"/>
          <w:bCs/>
          <w:spacing w:val="-3"/>
          <w:lang w:val="bg-BG"/>
        </w:rPr>
        <w:t>о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9C1BF7">
        <w:rPr>
          <w:rFonts w:ascii="Times New Roman" w:hAnsi="Times New Roman"/>
          <w:bCs/>
          <w:spacing w:val="-3"/>
          <w:lang w:val="bg-BG"/>
        </w:rPr>
        <w:t>оборудване</w:t>
      </w:r>
      <w:r w:rsidRPr="00C127EA">
        <w:rPr>
          <w:rFonts w:ascii="Times New Roman" w:hAnsi="Times New Roman"/>
          <w:bCs/>
          <w:spacing w:val="-3"/>
          <w:lang w:val="bg-BG"/>
        </w:rPr>
        <w:t>.</w:t>
      </w:r>
    </w:p>
    <w:p w14:paraId="65F57706" w14:textId="476E5FB9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Профилактичните прегледи и сервизното обслужване на </w:t>
      </w:r>
      <w:r w:rsidR="00BA1A21" w:rsidRPr="00C127EA">
        <w:rPr>
          <w:rFonts w:ascii="Times New Roman" w:hAnsi="Times New Roman"/>
          <w:bCs/>
          <w:spacing w:val="-3"/>
          <w:lang w:val="bg-BG"/>
        </w:rPr>
        <w:t>лабораторн</w:t>
      </w:r>
      <w:r w:rsidR="00BA1A21">
        <w:rPr>
          <w:rFonts w:ascii="Times New Roman" w:hAnsi="Times New Roman"/>
          <w:bCs/>
          <w:spacing w:val="-3"/>
          <w:lang w:val="bg-BG"/>
        </w:rPr>
        <w:t>о</w:t>
      </w:r>
      <w:r w:rsidR="00BA1A21"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BA1A21">
        <w:rPr>
          <w:rFonts w:ascii="Times New Roman" w:hAnsi="Times New Roman"/>
          <w:bCs/>
          <w:spacing w:val="-3"/>
          <w:lang w:val="bg-BG"/>
        </w:rPr>
        <w:t>оборудване</w:t>
      </w:r>
      <w:r w:rsidR="00BA1A21"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се извършват по заявка/поръчка на Възложителя. Заявката се изпраща по електронна поща.</w:t>
      </w:r>
    </w:p>
    <w:p w14:paraId="14E40703" w14:textId="1CD7FD84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След всеки профилактичен преглед, настройки и ремонт се изготвя Протокол за извършената работа, анализ на състоянието на апаратура</w:t>
      </w:r>
      <w:r w:rsidR="00DB0013">
        <w:rPr>
          <w:rFonts w:ascii="Times New Roman" w:hAnsi="Times New Roman"/>
          <w:bCs/>
          <w:spacing w:val="-3"/>
          <w:lang w:val="bg-BG"/>
        </w:rPr>
        <w:t>та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и описание на резервните части и/или консумативите, които подлежат на смяна, в случай на необходимост. </w:t>
      </w:r>
    </w:p>
    <w:p w14:paraId="58BAF283" w14:textId="77777777" w:rsidR="00065E87" w:rsidRDefault="00404488" w:rsidP="00007C55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В цената на сервизното обслужване не е включена цената на необходимите резервни части и консумативи. </w:t>
      </w:r>
    </w:p>
    <w:p w14:paraId="5AE4834E" w14:textId="3D6AD1E1" w:rsidR="00404488" w:rsidRPr="00065E87" w:rsidRDefault="00007C55" w:rsidP="00065E87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Осигуряване на консумативи и резервни части при необходимост.</w:t>
      </w:r>
    </w:p>
    <w:p w14:paraId="0B8E2B25" w14:textId="0D7D52B2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Предмет на договора е Ценова таблица № 1, която включва цената за един сервизен час при обслужване от Изпълнителя на </w:t>
      </w:r>
      <w:r w:rsidR="00065E87" w:rsidRPr="00065E87">
        <w:rPr>
          <w:rFonts w:ascii="Times New Roman" w:hAnsi="Times New Roman"/>
          <w:bCs/>
          <w:spacing w:val="-3"/>
          <w:lang w:val="bg-BG"/>
        </w:rPr>
        <w:t>лабораторните уреди</w:t>
      </w:r>
      <w:r w:rsidRPr="00C127EA">
        <w:rPr>
          <w:rFonts w:ascii="Times New Roman" w:hAnsi="Times New Roman"/>
          <w:bCs/>
          <w:spacing w:val="-3"/>
          <w:lang w:val="bg-BG"/>
        </w:rPr>
        <w:t>.</w:t>
      </w:r>
    </w:p>
    <w:p w14:paraId="6819DBD1" w14:textId="733045ED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Предмет на договора са стоките от Ценова таблица № 2</w:t>
      </w:r>
      <w:r w:rsidR="00953571">
        <w:rPr>
          <w:rFonts w:ascii="Times New Roman" w:hAnsi="Times New Roman"/>
          <w:bCs/>
          <w:spacing w:val="-3"/>
          <w:lang w:val="bg-BG"/>
        </w:rPr>
        <w:t>,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съдържащ</w:t>
      </w:r>
      <w:r w:rsidR="00B524BA">
        <w:rPr>
          <w:rFonts w:ascii="Times New Roman" w:hAnsi="Times New Roman"/>
          <w:bCs/>
          <w:spacing w:val="-3"/>
          <w:lang w:val="bg-BG"/>
        </w:rPr>
        <w:t>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резервните части и консумативи, необходими за работата на лабораторн</w:t>
      </w:r>
      <w:r w:rsidR="00B524BA">
        <w:rPr>
          <w:rFonts w:ascii="Times New Roman" w:hAnsi="Times New Roman"/>
          <w:bCs/>
          <w:spacing w:val="-3"/>
          <w:lang w:val="bg-BG"/>
        </w:rPr>
        <w:t>ите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 </w:t>
      </w:r>
      <w:r w:rsidR="00B524BA">
        <w:rPr>
          <w:rFonts w:ascii="Times New Roman" w:hAnsi="Times New Roman"/>
          <w:bCs/>
          <w:spacing w:val="-3"/>
          <w:lang w:val="bg-BG"/>
        </w:rPr>
        <w:t>уреди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. </w:t>
      </w:r>
    </w:p>
    <w:p w14:paraId="4312D5AA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В случай че в срока на договора бъде преустановено производството на стока по Ценова таблица № 2, предмет на договора, и същевременно тази стока престане да бъде предлагана на пазара, съответната стока следва да бъде заменена със стока с еквивалентни или по-добри характеристики, отговаряща на изискванията на Договора и предварително одобрена от Контролиращия служител, с цена не по-висока от цената на стоката, отпаднала от производство. </w:t>
      </w:r>
    </w:p>
    <w:p w14:paraId="449BB472" w14:textId="19657E62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В случаите по предходната точка Изпълнителят уведомява писмено </w:t>
      </w:r>
      <w:r w:rsidR="008C757B">
        <w:rPr>
          <w:rFonts w:ascii="Times New Roman" w:hAnsi="Times New Roman"/>
          <w:bCs/>
          <w:spacing w:val="-3"/>
          <w:lang w:val="bg-BG"/>
        </w:rPr>
        <w:t>К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онтролиращия служител за отпадналата от производство и непредлагана на пазара стока, като прилага съответните писмени доказателства за това, и представя на </w:t>
      </w:r>
      <w:r w:rsidR="004949AB">
        <w:rPr>
          <w:rFonts w:ascii="Times New Roman" w:hAnsi="Times New Roman"/>
          <w:bCs/>
          <w:spacing w:val="-3"/>
          <w:lang w:val="bg-BG"/>
        </w:rPr>
        <w:t>К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онтролиращия служител за одобрение писмено предложение за замяна със стока с еквиваленти или по-добри характеристики. </w:t>
      </w:r>
    </w:p>
    <w:p w14:paraId="24666384" w14:textId="49922CB4" w:rsidR="00404488" w:rsidRPr="009D1437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За всички възникнали нужди от стоки, невключени в Ценова таблица</w:t>
      </w:r>
      <w:r w:rsidR="00B824E2">
        <w:rPr>
          <w:rFonts w:ascii="Times New Roman" w:hAnsi="Times New Roman"/>
          <w:bCs/>
          <w:spacing w:val="-3"/>
          <w:lang w:val="bg-BG"/>
        </w:rPr>
        <w:t xml:space="preserve"> № 2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, които са сходни с предмета на договора, Възложителят си запазва правото да ги поръчва на Изпълнителя като изисква от него оферта, която се съгласува с </w:t>
      </w:r>
      <w:r w:rsidR="001C61CD">
        <w:rPr>
          <w:rFonts w:ascii="Times New Roman" w:hAnsi="Times New Roman"/>
          <w:bCs/>
          <w:spacing w:val="-3"/>
          <w:lang w:val="bg-BG"/>
        </w:rPr>
        <w:t>К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онтролиращия служител по договора. Възложителят има право да поръчва </w:t>
      </w:r>
      <w:r w:rsidRPr="009D1437">
        <w:rPr>
          <w:rFonts w:ascii="Times New Roman" w:hAnsi="Times New Roman"/>
          <w:bCs/>
          <w:spacing w:val="-3"/>
          <w:lang w:val="bg-BG"/>
        </w:rPr>
        <w:t xml:space="preserve">стоки по точка 4.8 от настоящия раздел на стойност до </w:t>
      </w:r>
      <w:r w:rsidR="009D5C28" w:rsidRPr="009D1437">
        <w:rPr>
          <w:rFonts w:ascii="Times New Roman" w:hAnsi="Times New Roman"/>
          <w:bCs/>
          <w:spacing w:val="-3"/>
          <w:lang w:val="bg-BG"/>
        </w:rPr>
        <w:t>2</w:t>
      </w:r>
      <w:r w:rsidRPr="009D1437">
        <w:rPr>
          <w:rFonts w:ascii="Times New Roman" w:hAnsi="Times New Roman"/>
          <w:bCs/>
          <w:spacing w:val="-3"/>
          <w:lang w:val="bg-BG"/>
        </w:rPr>
        <w:t>0 % от максималната стойност на договора.</w:t>
      </w:r>
    </w:p>
    <w:p w14:paraId="07047A3A" w14:textId="3A864A6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Максималният срок за доставка не трябва да надвишава 20 работни дни</w:t>
      </w:r>
      <w:r w:rsidR="00E778B7" w:rsidRPr="00E778B7">
        <w:rPr>
          <w:rFonts w:ascii="Times New Roman" w:hAnsi="Times New Roman"/>
          <w:bCs/>
          <w:spacing w:val="-3"/>
          <w:lang w:val="bg-BG"/>
        </w:rPr>
        <w:t xml:space="preserve">, считано от датата на изпращане на поръчка от страна на </w:t>
      </w:r>
      <w:r w:rsidR="00E778B7">
        <w:rPr>
          <w:rFonts w:ascii="Times New Roman" w:hAnsi="Times New Roman"/>
          <w:bCs/>
          <w:spacing w:val="-3"/>
          <w:lang w:val="bg-BG"/>
        </w:rPr>
        <w:t>В</w:t>
      </w:r>
      <w:r w:rsidR="00E778B7" w:rsidRPr="00E778B7">
        <w:rPr>
          <w:rFonts w:ascii="Times New Roman" w:hAnsi="Times New Roman"/>
          <w:bCs/>
          <w:spacing w:val="-3"/>
          <w:lang w:val="bg-BG"/>
        </w:rPr>
        <w:t>ъзложителя</w:t>
      </w:r>
      <w:r w:rsidR="00E778B7">
        <w:rPr>
          <w:rFonts w:ascii="Times New Roman" w:hAnsi="Times New Roman"/>
          <w:bCs/>
          <w:spacing w:val="-3"/>
          <w:lang w:val="bg-BG"/>
        </w:rPr>
        <w:t>.</w:t>
      </w:r>
    </w:p>
    <w:p w14:paraId="51D1AA2F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Изпълнителят доставя и влага нови оригинални резервни части или еквивалентни, съобразно предложението му в Ценова таблица № 2.</w:t>
      </w:r>
    </w:p>
    <w:p w14:paraId="737A9FDE" w14:textId="6F77CA1D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оригинални резервни части и консумативи са тези, които са произведени от производителя на лабораторн</w:t>
      </w:r>
      <w:r w:rsidR="001E3FD9">
        <w:rPr>
          <w:rFonts w:ascii="Times New Roman" w:hAnsi="Times New Roman"/>
          <w:bCs/>
          <w:spacing w:val="-3"/>
          <w:lang w:val="bg-BG"/>
        </w:rPr>
        <w:t>ия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1E3FD9">
        <w:rPr>
          <w:rFonts w:ascii="Times New Roman" w:hAnsi="Times New Roman"/>
          <w:bCs/>
          <w:spacing w:val="-3"/>
          <w:lang w:val="bg-BG"/>
        </w:rPr>
        <w:t>уред</w:t>
      </w:r>
      <w:r w:rsidRPr="00C127EA">
        <w:rPr>
          <w:rFonts w:ascii="Times New Roman" w:hAnsi="Times New Roman"/>
          <w:bCs/>
          <w:spacing w:val="-3"/>
          <w:lang w:val="bg-BG"/>
        </w:rPr>
        <w:t>;</w:t>
      </w:r>
    </w:p>
    <w:p w14:paraId="4253FCD6" w14:textId="4314D6BD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еквивалентни резервни части и консумативи са тези, които напълно съответстват на </w:t>
      </w:r>
      <w:r w:rsidRPr="00C127EA">
        <w:rPr>
          <w:rFonts w:ascii="Times New Roman" w:hAnsi="Times New Roman"/>
          <w:bCs/>
          <w:spacing w:val="-3"/>
          <w:lang w:val="bg-BG"/>
        </w:rPr>
        <w:lastRenderedPageBreak/>
        <w:t>работните характеристики и присъединителните размери на съответн</w:t>
      </w:r>
      <w:r w:rsidR="001A4811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>т</w:t>
      </w:r>
      <w:r w:rsidR="001A4811">
        <w:rPr>
          <w:rFonts w:ascii="Times New Roman" w:hAnsi="Times New Roman"/>
          <w:bCs/>
          <w:spacing w:val="-3"/>
          <w:lang w:val="bg-BG"/>
        </w:rPr>
        <w:t>е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лабораторн</w:t>
      </w:r>
      <w:r w:rsidR="00C10A5B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C10A5B">
        <w:rPr>
          <w:rFonts w:ascii="Times New Roman" w:hAnsi="Times New Roman"/>
          <w:bCs/>
          <w:spacing w:val="-3"/>
          <w:lang w:val="bg-BG"/>
        </w:rPr>
        <w:t>уреди</w:t>
      </w:r>
      <w:r w:rsidRPr="00C127EA">
        <w:rPr>
          <w:rFonts w:ascii="Times New Roman" w:hAnsi="Times New Roman"/>
          <w:bCs/>
          <w:spacing w:val="-3"/>
          <w:lang w:val="bg-BG"/>
        </w:rPr>
        <w:t>. Това са стоки на друг производител, имащи същите технически спецификации и параметри</w:t>
      </w:r>
      <w:r w:rsidR="001A4811">
        <w:rPr>
          <w:rFonts w:ascii="Times New Roman" w:hAnsi="Times New Roman"/>
          <w:bCs/>
          <w:spacing w:val="-3"/>
          <w:lang w:val="bg-BG"/>
        </w:rPr>
        <w:t>,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посочени в колона „Описание на консумативите/резервните части“ от Таблица-срокове № 2 и Ценова таблица № 2, които да са приложими към съответн</w:t>
      </w:r>
      <w:r w:rsidR="001A4811">
        <w:rPr>
          <w:rFonts w:ascii="Times New Roman" w:hAnsi="Times New Roman"/>
          <w:bCs/>
          <w:spacing w:val="-3"/>
          <w:lang w:val="bg-BG"/>
        </w:rPr>
        <w:t>ия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лаборатор</w:t>
      </w:r>
      <w:r w:rsidR="001A4811">
        <w:rPr>
          <w:rFonts w:ascii="Times New Roman" w:hAnsi="Times New Roman"/>
          <w:bCs/>
          <w:spacing w:val="-3"/>
          <w:lang w:val="bg-BG"/>
        </w:rPr>
        <w:t>ен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1A4811">
        <w:rPr>
          <w:rFonts w:ascii="Times New Roman" w:hAnsi="Times New Roman"/>
          <w:bCs/>
          <w:spacing w:val="-3"/>
          <w:lang w:val="bg-BG"/>
        </w:rPr>
        <w:t>уред</w:t>
      </w:r>
      <w:r w:rsidRPr="00C127EA">
        <w:rPr>
          <w:rFonts w:ascii="Times New Roman" w:hAnsi="Times New Roman"/>
          <w:bCs/>
          <w:spacing w:val="-3"/>
          <w:lang w:val="bg-BG"/>
        </w:rPr>
        <w:t>, като при влагането им в употреба да не води до допълнителни разходи за Възложителя.</w:t>
      </w:r>
    </w:p>
    <w:p w14:paraId="5142B91B" w14:textId="558F17B7" w:rsidR="00761161" w:rsidRPr="00761161" w:rsidRDefault="00761161" w:rsidP="00145799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761161">
        <w:rPr>
          <w:rFonts w:ascii="Times New Roman" w:hAnsi="Times New Roman"/>
          <w:bCs/>
          <w:spacing w:val="-3"/>
          <w:lang w:val="bg-BG"/>
        </w:rPr>
        <w:t xml:space="preserve">Възложителят трябва да осигури нормални условия за работа на специалистите на </w:t>
      </w:r>
      <w:r w:rsidR="009F4AB1">
        <w:rPr>
          <w:rFonts w:ascii="Times New Roman" w:hAnsi="Times New Roman"/>
          <w:bCs/>
          <w:spacing w:val="-3"/>
          <w:lang w:val="bg-BG"/>
        </w:rPr>
        <w:t>И</w:t>
      </w:r>
      <w:r w:rsidRPr="00761161">
        <w:rPr>
          <w:rFonts w:ascii="Times New Roman" w:hAnsi="Times New Roman"/>
          <w:bCs/>
          <w:spacing w:val="-3"/>
          <w:lang w:val="bg-BG"/>
        </w:rPr>
        <w:t xml:space="preserve">зпълнителя на територията на </w:t>
      </w:r>
      <w:r w:rsidR="009F4AB1">
        <w:rPr>
          <w:rFonts w:ascii="Times New Roman" w:hAnsi="Times New Roman"/>
          <w:bCs/>
          <w:spacing w:val="-3"/>
          <w:lang w:val="bg-BG"/>
        </w:rPr>
        <w:t>В</w:t>
      </w:r>
      <w:r w:rsidRPr="00761161">
        <w:rPr>
          <w:rFonts w:ascii="Times New Roman" w:hAnsi="Times New Roman"/>
          <w:bCs/>
          <w:spacing w:val="-3"/>
          <w:lang w:val="bg-BG"/>
        </w:rPr>
        <w:t>ъзложителя.</w:t>
      </w:r>
    </w:p>
    <w:p w14:paraId="07C4303B" w14:textId="733F98BF" w:rsidR="00761161" w:rsidRPr="00761161" w:rsidRDefault="00761161" w:rsidP="00145799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761161">
        <w:rPr>
          <w:rFonts w:ascii="Times New Roman" w:hAnsi="Times New Roman"/>
          <w:bCs/>
          <w:spacing w:val="-3"/>
          <w:lang w:val="bg-BG"/>
        </w:rPr>
        <w:t>Възложителят трябва да спазва инструкциите за работа с уреда дадени от производителя, както и препоръките за правилна експлоатация</w:t>
      </w:r>
      <w:r w:rsidR="00CB444D">
        <w:rPr>
          <w:rFonts w:ascii="Times New Roman" w:hAnsi="Times New Roman"/>
          <w:bCs/>
          <w:spacing w:val="-3"/>
          <w:lang w:val="bg-BG"/>
        </w:rPr>
        <w:t>,</w:t>
      </w:r>
      <w:r w:rsidRPr="00761161">
        <w:rPr>
          <w:rFonts w:ascii="Times New Roman" w:hAnsi="Times New Roman"/>
          <w:bCs/>
          <w:spacing w:val="-3"/>
          <w:lang w:val="bg-BG"/>
        </w:rPr>
        <w:t xml:space="preserve"> дадени от </w:t>
      </w:r>
      <w:r w:rsidR="009F4AB1">
        <w:rPr>
          <w:rFonts w:ascii="Times New Roman" w:hAnsi="Times New Roman"/>
          <w:bCs/>
          <w:spacing w:val="-3"/>
          <w:lang w:val="bg-BG"/>
        </w:rPr>
        <w:t>И</w:t>
      </w:r>
      <w:r w:rsidRPr="00761161">
        <w:rPr>
          <w:rFonts w:ascii="Times New Roman" w:hAnsi="Times New Roman"/>
          <w:bCs/>
          <w:spacing w:val="-3"/>
          <w:lang w:val="bg-BG"/>
        </w:rPr>
        <w:t>зпълнителя.</w:t>
      </w:r>
    </w:p>
    <w:p w14:paraId="0C7AFEBC" w14:textId="77777777" w:rsidR="00761161" w:rsidRPr="00761161" w:rsidRDefault="00761161" w:rsidP="00145799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761161">
        <w:rPr>
          <w:rFonts w:ascii="Times New Roman" w:hAnsi="Times New Roman"/>
          <w:bCs/>
          <w:spacing w:val="-3"/>
          <w:lang w:val="bg-BG"/>
        </w:rPr>
        <w:t>Изпълнителят доставя поръчаните резервните части и консумативи, предмет на договора, съгласно цените и други изисквания уговорени в Договора.</w:t>
      </w:r>
    </w:p>
    <w:p w14:paraId="658B27B8" w14:textId="7A93209C" w:rsidR="00761161" w:rsidRPr="00761161" w:rsidRDefault="00761161" w:rsidP="00145799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761161">
        <w:rPr>
          <w:rFonts w:ascii="Times New Roman" w:hAnsi="Times New Roman"/>
          <w:bCs/>
          <w:spacing w:val="-3"/>
          <w:lang w:val="bg-BG"/>
        </w:rPr>
        <w:t xml:space="preserve">На </w:t>
      </w:r>
      <w:r w:rsidR="009F4AB1">
        <w:rPr>
          <w:rFonts w:ascii="Times New Roman" w:hAnsi="Times New Roman"/>
          <w:bCs/>
          <w:spacing w:val="-3"/>
          <w:lang w:val="bg-BG"/>
        </w:rPr>
        <w:t>И</w:t>
      </w:r>
      <w:r w:rsidRPr="00761161">
        <w:rPr>
          <w:rFonts w:ascii="Times New Roman" w:hAnsi="Times New Roman"/>
          <w:bCs/>
          <w:spacing w:val="-3"/>
          <w:lang w:val="bg-BG"/>
        </w:rPr>
        <w:t>зпълнителя не са гарантирани количества на поръчваните резервни части и консумативи, предмет на договора и продължителност на дейностите. Възложителят ще поръч</w:t>
      </w:r>
      <w:r w:rsidR="00ED3772">
        <w:rPr>
          <w:rFonts w:ascii="Times New Roman" w:hAnsi="Times New Roman"/>
          <w:bCs/>
          <w:spacing w:val="-3"/>
          <w:lang w:val="bg-BG"/>
        </w:rPr>
        <w:t>в</w:t>
      </w:r>
      <w:r w:rsidRPr="00761161">
        <w:rPr>
          <w:rFonts w:ascii="Times New Roman" w:hAnsi="Times New Roman"/>
          <w:bCs/>
          <w:spacing w:val="-3"/>
          <w:lang w:val="bg-BG"/>
        </w:rPr>
        <w:t>а стоките и услугите предмет на договора съгласно текущите необходимости за лабораторни уреди, предмет на договора.</w:t>
      </w:r>
    </w:p>
    <w:p w14:paraId="4759CDBD" w14:textId="01FB536E" w:rsidR="00761161" w:rsidRDefault="00761161" w:rsidP="00145799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761161">
        <w:rPr>
          <w:rFonts w:ascii="Times New Roman" w:hAnsi="Times New Roman"/>
          <w:bCs/>
          <w:spacing w:val="-3"/>
          <w:lang w:val="bg-BG"/>
        </w:rPr>
        <w:t xml:space="preserve">Обменът на информация се извършва чрез пощенска или друга куриерска услуга с препоръчана пратка с обратна разписка, по електронна поща, с електронен подпис съгласно изискванията на Закона за електронния документ и електронния подпис или чрез комбинация от тези средства. </w:t>
      </w:r>
    </w:p>
    <w:p w14:paraId="2B177AE1" w14:textId="37FB2BC6" w:rsidR="00404488" w:rsidRPr="00C127EA" w:rsidRDefault="00404488" w:rsidP="00145799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Лабораторн</w:t>
      </w:r>
      <w:r w:rsidR="009775CC">
        <w:rPr>
          <w:rFonts w:ascii="Times New Roman" w:hAnsi="Times New Roman"/>
          <w:bCs/>
          <w:spacing w:val="-3"/>
          <w:lang w:val="bg-BG"/>
        </w:rPr>
        <w:t>ите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551E64">
        <w:rPr>
          <w:rFonts w:ascii="Times New Roman" w:hAnsi="Times New Roman"/>
          <w:bCs/>
          <w:spacing w:val="-3"/>
          <w:lang w:val="bg-BG"/>
        </w:rPr>
        <w:t>уреди/</w:t>
      </w:r>
      <w:r w:rsidRPr="00C127EA">
        <w:rPr>
          <w:rFonts w:ascii="Times New Roman" w:hAnsi="Times New Roman"/>
          <w:bCs/>
          <w:spacing w:val="-3"/>
          <w:lang w:val="bg-BG"/>
        </w:rPr>
        <w:t>апаратура, предмет на договора, се сервизира</w:t>
      </w:r>
      <w:r w:rsidR="00D97562">
        <w:rPr>
          <w:rFonts w:ascii="Times New Roman" w:hAnsi="Times New Roman"/>
          <w:bCs/>
          <w:spacing w:val="-3"/>
          <w:lang w:val="bg-BG"/>
        </w:rPr>
        <w:t>т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по местата, на които </w:t>
      </w:r>
      <w:r w:rsidR="00551E64">
        <w:rPr>
          <w:rFonts w:ascii="Times New Roman" w:hAnsi="Times New Roman"/>
          <w:bCs/>
          <w:spacing w:val="-3"/>
          <w:lang w:val="bg-BG"/>
        </w:rPr>
        <w:t>са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разположен</w:t>
      </w:r>
      <w:r w:rsidR="00551E64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в обектите на Възложителя. Местоположението </w:t>
      </w:r>
      <w:r w:rsidR="00032E57">
        <w:rPr>
          <w:rFonts w:ascii="Times New Roman" w:hAnsi="Times New Roman"/>
          <w:bCs/>
          <w:spacing w:val="-3"/>
          <w:lang w:val="bg-BG"/>
        </w:rPr>
        <w:t xml:space="preserve">им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е посочено в Таблица-срокове № 2 от този раздел. В случай че се наложи сервизното обслужване да се извърши в бази на Изпълнителя, </w:t>
      </w:r>
      <w:r w:rsidR="00A55EFD">
        <w:rPr>
          <w:rFonts w:ascii="Times New Roman" w:hAnsi="Times New Roman"/>
          <w:bCs/>
          <w:spacing w:val="-3"/>
          <w:lang w:val="bg-BG"/>
        </w:rPr>
        <w:t>уредът/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апаратурата му се предава с двустранно подписан приемо-предавателен протокол, в който са описани вид, модел и сериен номер на </w:t>
      </w:r>
      <w:r w:rsidR="009C54B1">
        <w:rPr>
          <w:rFonts w:ascii="Times New Roman" w:hAnsi="Times New Roman"/>
          <w:bCs/>
          <w:spacing w:val="-3"/>
          <w:lang w:val="bg-BG"/>
        </w:rPr>
        <w:t>уреда/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апаратурата, дата на предаване, описание на повредата и състояние на </w:t>
      </w:r>
      <w:r w:rsidR="00134E4E">
        <w:rPr>
          <w:rFonts w:ascii="Times New Roman" w:hAnsi="Times New Roman"/>
          <w:bCs/>
          <w:spacing w:val="-3"/>
          <w:lang w:val="bg-BG"/>
        </w:rPr>
        <w:t>уреда/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апаратурата. </w:t>
      </w:r>
    </w:p>
    <w:p w14:paraId="3ED1DB1C" w14:textId="77777777" w:rsidR="00404488" w:rsidRPr="00C127EA" w:rsidRDefault="00404488" w:rsidP="00404488">
      <w:pPr>
        <w:widowControl w:val="0"/>
        <w:ind w:right="-2"/>
        <w:jc w:val="both"/>
        <w:rPr>
          <w:rFonts w:ascii="Times New Roman" w:hAnsi="Times New Roman"/>
          <w:bCs/>
          <w:spacing w:val="-3"/>
          <w:lang w:val="bg-BG"/>
        </w:rPr>
      </w:pPr>
    </w:p>
    <w:p w14:paraId="13CFA50E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 xml:space="preserve">МЕСТОПОЛОЖЕНИЕ НА ЛАБОРАТОРНАТА АПАРАТУРА, ПРЕДМЕТ НА ДОГОВОРА </w:t>
      </w:r>
    </w:p>
    <w:p w14:paraId="1FFBC26F" w14:textId="3F97312C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Лабораторн</w:t>
      </w:r>
      <w:r w:rsidR="00BE4645">
        <w:rPr>
          <w:rFonts w:ascii="Times New Roman" w:hAnsi="Times New Roman"/>
          <w:bCs/>
          <w:spacing w:val="-3"/>
          <w:lang w:val="bg-BG"/>
        </w:rPr>
        <w:t>ите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  <w:r w:rsidR="00BE4645">
        <w:rPr>
          <w:rFonts w:ascii="Times New Roman" w:hAnsi="Times New Roman"/>
          <w:bCs/>
          <w:spacing w:val="-3"/>
          <w:lang w:val="bg-BG"/>
        </w:rPr>
        <w:t>уреди</w:t>
      </w:r>
      <w:r w:rsidRPr="00C127EA">
        <w:rPr>
          <w:rFonts w:ascii="Times New Roman" w:hAnsi="Times New Roman"/>
          <w:bCs/>
          <w:spacing w:val="-3"/>
          <w:lang w:val="bg-BG"/>
        </w:rPr>
        <w:t>, ко</w:t>
      </w:r>
      <w:r w:rsidR="00BE4645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>то подлеж</w:t>
      </w:r>
      <w:r w:rsidR="00BE4645">
        <w:rPr>
          <w:rFonts w:ascii="Times New Roman" w:hAnsi="Times New Roman"/>
          <w:bCs/>
          <w:spacing w:val="-3"/>
          <w:lang w:val="bg-BG"/>
        </w:rPr>
        <w:t>ат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на обслужване от Изпълнителя съобразно договора, притежаван</w:t>
      </w:r>
      <w:r w:rsidR="00BE4645">
        <w:rPr>
          <w:rFonts w:ascii="Times New Roman" w:hAnsi="Times New Roman"/>
          <w:bCs/>
          <w:spacing w:val="-3"/>
          <w:lang w:val="bg-BG"/>
        </w:rPr>
        <w:t>и</w:t>
      </w:r>
      <w:r w:rsidR="007420CB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от Възложителя, се намира</w:t>
      </w:r>
      <w:r w:rsidR="007420CB">
        <w:rPr>
          <w:rFonts w:ascii="Times New Roman" w:hAnsi="Times New Roman"/>
          <w:bCs/>
          <w:spacing w:val="-3"/>
          <w:lang w:val="bg-BG"/>
        </w:rPr>
        <w:t>т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на територията на гр. София и </w:t>
      </w:r>
      <w:r w:rsidR="007420CB">
        <w:rPr>
          <w:rFonts w:ascii="Times New Roman" w:hAnsi="Times New Roman"/>
          <w:bCs/>
          <w:spacing w:val="-3"/>
          <w:lang w:val="bg-BG"/>
        </w:rPr>
        <w:t>са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посочен</w:t>
      </w:r>
      <w:r w:rsidR="007420CB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в Таблица-срокове №</w:t>
      </w:r>
      <w:r w:rsidR="00552EF8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2 от този раздел</w:t>
      </w:r>
      <w:r w:rsidR="00B4518C">
        <w:rPr>
          <w:rFonts w:ascii="Times New Roman" w:hAnsi="Times New Roman"/>
          <w:bCs/>
          <w:spacing w:val="-3"/>
          <w:lang w:val="bg-BG"/>
        </w:rPr>
        <w:t xml:space="preserve"> на адреси</w:t>
      </w:r>
      <w:r w:rsidR="00F927FE">
        <w:rPr>
          <w:rFonts w:ascii="Times New Roman" w:hAnsi="Times New Roman"/>
          <w:bCs/>
          <w:spacing w:val="-3"/>
          <w:lang w:val="bg-BG"/>
        </w:rPr>
        <w:t>: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</w:t>
      </w:r>
    </w:p>
    <w:p w14:paraId="5B1F7E27" w14:textId="62C8223C" w:rsidR="00F91421" w:rsidRPr="00F91421" w:rsidRDefault="00522062" w:rsidP="003B534A">
      <w:pPr>
        <w:pStyle w:val="ListParagraph"/>
        <w:numPr>
          <w:ilvl w:val="1"/>
          <w:numId w:val="33"/>
        </w:numPr>
        <w:tabs>
          <w:tab w:val="left" w:pos="567"/>
        </w:tabs>
        <w:ind w:left="0" w:firstLine="0"/>
        <w:jc w:val="both"/>
        <w:rPr>
          <w:rFonts w:ascii="Times New Roman" w:hAnsi="Times New Roman"/>
          <w:bCs/>
          <w:spacing w:val="-3"/>
          <w:lang w:val="bg-BG"/>
        </w:rPr>
      </w:pPr>
      <w:r>
        <w:rPr>
          <w:rFonts w:ascii="Times New Roman" w:hAnsi="Times New Roman"/>
          <w:bCs/>
          <w:spacing w:val="-3"/>
          <w:lang w:val="bg-BG"/>
        </w:rPr>
        <w:t xml:space="preserve">ЛИК </w:t>
      </w:r>
      <w:r w:rsidR="00F91421" w:rsidRPr="00F91421">
        <w:rPr>
          <w:rFonts w:ascii="Times New Roman" w:hAnsi="Times New Roman"/>
          <w:bCs/>
          <w:spacing w:val="-3"/>
          <w:lang w:val="bg-BG"/>
        </w:rPr>
        <w:t>Отпадъчни води, кв. „Бенковски“,  СПСОВ „Кубратово“, административна сграда.</w:t>
      </w:r>
    </w:p>
    <w:p w14:paraId="185EE695" w14:textId="5DFEAE9A" w:rsidR="00404488" w:rsidRPr="00C127EA" w:rsidRDefault="00522062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>
        <w:rPr>
          <w:rFonts w:ascii="Times New Roman" w:hAnsi="Times New Roman"/>
          <w:bCs/>
          <w:spacing w:val="-3"/>
          <w:lang w:val="bg-BG"/>
        </w:rPr>
        <w:t xml:space="preserve">ЛИК </w:t>
      </w:r>
      <w:r w:rsidR="00404488" w:rsidRPr="00C127EA">
        <w:rPr>
          <w:rFonts w:ascii="Times New Roman" w:hAnsi="Times New Roman"/>
          <w:bCs/>
          <w:spacing w:val="-3"/>
          <w:lang w:val="bg-BG"/>
        </w:rPr>
        <w:t>Питейни води, кв. „Бункера“, ул. „Хотнишки водопад“ №</w:t>
      </w:r>
      <w:r w:rsidR="00EE32A1">
        <w:rPr>
          <w:rFonts w:ascii="Times New Roman" w:hAnsi="Times New Roman"/>
          <w:bCs/>
          <w:spacing w:val="-3"/>
          <w:lang w:val="bg-BG"/>
        </w:rPr>
        <w:t xml:space="preserve"> </w:t>
      </w:r>
      <w:r w:rsidR="00404488" w:rsidRPr="00C127EA">
        <w:rPr>
          <w:rFonts w:ascii="Times New Roman" w:hAnsi="Times New Roman"/>
          <w:bCs/>
          <w:spacing w:val="-3"/>
          <w:lang w:val="bg-BG"/>
        </w:rPr>
        <w:t xml:space="preserve">2, ПСПВ „Бистрица“, административна сграда, етаж 3, е обект санитарно-охранителна зона със стратегическо значение. </w:t>
      </w:r>
    </w:p>
    <w:p w14:paraId="0BC095D5" w14:textId="77777777" w:rsidR="00404488" w:rsidRPr="00C127EA" w:rsidRDefault="00404488" w:rsidP="00404488">
      <w:pPr>
        <w:widowControl w:val="0"/>
        <w:ind w:right="-2"/>
        <w:jc w:val="both"/>
        <w:rPr>
          <w:rFonts w:ascii="Times New Roman" w:hAnsi="Times New Roman"/>
          <w:bCs/>
          <w:spacing w:val="-3"/>
          <w:lang w:val="bg-BG"/>
        </w:rPr>
      </w:pPr>
    </w:p>
    <w:p w14:paraId="7640CC97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СРОКОВЕ</w:t>
      </w:r>
    </w:p>
    <w:p w14:paraId="2EF5B03F" w14:textId="2F09CEB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Максималният срок за реакция </w:t>
      </w:r>
      <w:r w:rsidR="00E10EB2" w:rsidRPr="00E10EB2">
        <w:rPr>
          <w:rFonts w:ascii="Times New Roman" w:hAnsi="Times New Roman"/>
          <w:bCs/>
          <w:spacing w:val="-3"/>
          <w:lang w:val="bg-BG"/>
        </w:rPr>
        <w:t xml:space="preserve">от страна на </w:t>
      </w:r>
      <w:r w:rsidR="00E10EB2">
        <w:rPr>
          <w:rFonts w:ascii="Times New Roman" w:hAnsi="Times New Roman"/>
          <w:bCs/>
          <w:spacing w:val="-3"/>
          <w:lang w:val="bg-BG"/>
        </w:rPr>
        <w:t>И</w:t>
      </w:r>
      <w:r w:rsidR="00E10EB2" w:rsidRPr="00E10EB2">
        <w:rPr>
          <w:rFonts w:ascii="Times New Roman" w:hAnsi="Times New Roman"/>
          <w:bCs/>
          <w:spacing w:val="-3"/>
          <w:lang w:val="bg-BG"/>
        </w:rPr>
        <w:t xml:space="preserve">зпълнителя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е до 24 </w:t>
      </w:r>
      <w:r w:rsidR="003C3586" w:rsidRPr="003C3586">
        <w:rPr>
          <w:rFonts w:ascii="Times New Roman" w:hAnsi="Times New Roman"/>
          <w:bCs/>
          <w:spacing w:val="-3"/>
          <w:lang w:val="bg-BG"/>
        </w:rPr>
        <w:t>(двадесет и четири)</w:t>
      </w:r>
      <w:r w:rsidR="003C3586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часа след писмено възлагане </w:t>
      </w:r>
      <w:r w:rsidR="006431A2" w:rsidRPr="00C127EA">
        <w:rPr>
          <w:rFonts w:ascii="Times New Roman" w:hAnsi="Times New Roman"/>
          <w:bCs/>
          <w:spacing w:val="-3"/>
          <w:lang w:val="bg-BG"/>
        </w:rPr>
        <w:t xml:space="preserve">по електронна поща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от страна на Възложителя. Срокът за реакция е срокът, в който Изпълнителят се свързва с </w:t>
      </w:r>
      <w:r w:rsidR="000A4E36">
        <w:rPr>
          <w:rFonts w:ascii="Times New Roman" w:hAnsi="Times New Roman"/>
          <w:bCs/>
          <w:spacing w:val="-3"/>
          <w:lang w:val="bg-BG"/>
        </w:rPr>
        <w:t>К</w:t>
      </w:r>
      <w:r w:rsidRPr="00C127EA">
        <w:rPr>
          <w:rFonts w:ascii="Times New Roman" w:hAnsi="Times New Roman"/>
          <w:bCs/>
          <w:spacing w:val="-3"/>
          <w:lang w:val="bg-BG"/>
        </w:rPr>
        <w:t>онтролиращия служител от страна на Възложителя, запознава се с причината за постъпилото възлагане и започва да работи по отстраняване на проблема.</w:t>
      </w:r>
      <w:r w:rsidR="000A4E36">
        <w:rPr>
          <w:rFonts w:ascii="Times New Roman" w:hAnsi="Times New Roman"/>
          <w:bCs/>
          <w:spacing w:val="-3"/>
          <w:lang w:val="bg-BG"/>
        </w:rPr>
        <w:t xml:space="preserve"> </w:t>
      </w:r>
    </w:p>
    <w:p w14:paraId="2277303D" w14:textId="78A8578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В случай</w:t>
      </w:r>
      <w:r w:rsidR="002139A9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че проблемът изисква посещение на място от сервизен инженер, Изпълнителят се задължава в срок до 2 (два) работни дни след изтичане на срока по т.</w:t>
      </w:r>
      <w:r w:rsidR="0018200B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4.1 от този раздел да осигури посещение от сервизен инженер. Решението за посещение на място при Възложителя се взема по взаимно съгласие на страните по договора в писмен вид чрез изпращане на имейл.</w:t>
      </w:r>
    </w:p>
    <w:p w14:paraId="51825559" w14:textId="08FCB62C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lastRenderedPageBreak/>
        <w:t xml:space="preserve">Максималният срок, в който Изпълнителят възстановява функционалната годност на даден </w:t>
      </w:r>
      <w:r w:rsidR="00E61D0D">
        <w:rPr>
          <w:rFonts w:ascii="Times New Roman" w:hAnsi="Times New Roman"/>
          <w:bCs/>
          <w:spacing w:val="-3"/>
          <w:lang w:val="bg-BG"/>
        </w:rPr>
        <w:t>уред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започва да тече след изтичане на срока по т. 4.1. или т. 4.2. от този раздел. Максималният срок за възстановяване на функционалната годност на даден </w:t>
      </w:r>
      <w:r w:rsidR="004C1A5D">
        <w:rPr>
          <w:rFonts w:ascii="Times New Roman" w:hAnsi="Times New Roman"/>
          <w:bCs/>
          <w:spacing w:val="-3"/>
          <w:lang w:val="bg-BG"/>
        </w:rPr>
        <w:t>уред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включва:</w:t>
      </w:r>
    </w:p>
    <w:p w14:paraId="10111239" w14:textId="77777777" w:rsidR="00404488" w:rsidRPr="00C127EA" w:rsidRDefault="00404488" w:rsidP="00404488">
      <w:pPr>
        <w:widowControl w:val="0"/>
        <w:numPr>
          <w:ilvl w:val="2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До 5 (пет) работни дни за осъществяване на сервизна дейност по отстраняване на повреди, когато не се изисква доставка на резервни части и консумативи;</w:t>
      </w:r>
    </w:p>
    <w:p w14:paraId="79F4D4D8" w14:textId="77777777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При необходимост от доставка на консумативи и резервни части, срокът по предходната точка започва да тече, считано от датата на доставката им. </w:t>
      </w:r>
    </w:p>
    <w:p w14:paraId="40964EE4" w14:textId="620A52E0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Срокът за доставка на необходимите резервни части и консумативи е съгласно сроковете, посочени в Таблица-срокове № 2</w:t>
      </w:r>
      <w:r w:rsidR="00C8112A" w:rsidRPr="00C8112A">
        <w:t xml:space="preserve"> </w:t>
      </w:r>
      <w:r w:rsidR="00C8112A" w:rsidRPr="00C8112A">
        <w:rPr>
          <w:rFonts w:ascii="Times New Roman" w:hAnsi="Times New Roman"/>
          <w:bCs/>
          <w:spacing w:val="-3"/>
          <w:lang w:val="bg-BG"/>
        </w:rPr>
        <w:t>от Приложение 1 – техническа спецификация</w:t>
      </w:r>
      <w:r w:rsidRPr="00C127EA">
        <w:rPr>
          <w:rFonts w:ascii="Times New Roman" w:hAnsi="Times New Roman"/>
          <w:bCs/>
          <w:spacing w:val="-3"/>
          <w:lang w:val="bg-BG"/>
        </w:rPr>
        <w:t>.</w:t>
      </w:r>
    </w:p>
    <w:p w14:paraId="547AAEA8" w14:textId="27E9EB36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След всяка проверка или сервизна дейност</w:t>
      </w:r>
      <w:r w:rsidR="00C64700">
        <w:rPr>
          <w:rFonts w:ascii="Times New Roman" w:hAnsi="Times New Roman"/>
          <w:bCs/>
          <w:spacing w:val="-3"/>
          <w:lang w:val="bg-BG"/>
        </w:rPr>
        <w:t xml:space="preserve"> </w:t>
      </w:r>
      <w:r w:rsidRPr="00C127EA">
        <w:rPr>
          <w:rFonts w:ascii="Times New Roman" w:hAnsi="Times New Roman"/>
          <w:bCs/>
          <w:spacing w:val="-3"/>
          <w:lang w:val="bg-BG"/>
        </w:rPr>
        <w:t>Изпълнителят попълва Протокол, удостоверяващ извършването на дейността. Протоколът се подписва двустранно.</w:t>
      </w:r>
    </w:p>
    <w:p w14:paraId="018B3D53" w14:textId="7BCB816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Резервните части и консумативите се изписват по препоръка на Изпълнителя и/или по преценка на Възложителя</w:t>
      </w:r>
      <w:r w:rsidR="00D66F94">
        <w:rPr>
          <w:rFonts w:ascii="Times New Roman" w:hAnsi="Times New Roman"/>
          <w:bCs/>
          <w:spacing w:val="-3"/>
          <w:lang w:val="bg-BG"/>
        </w:rPr>
        <w:t xml:space="preserve"> </w:t>
      </w:r>
      <w:r w:rsidR="00D66F94">
        <w:rPr>
          <w:rFonts w:ascii="Times New Roman" w:hAnsi="Times New Roman"/>
          <w:bCs/>
          <w:spacing w:val="-3"/>
          <w:lang w:val="en-US"/>
        </w:rPr>
        <w:t>(</w:t>
      </w:r>
      <w:r w:rsidR="00D66F94" w:rsidRPr="00D66F94">
        <w:rPr>
          <w:rFonts w:ascii="Times New Roman" w:hAnsi="Times New Roman"/>
          <w:bCs/>
          <w:spacing w:val="-3"/>
          <w:lang w:val="bg-BG"/>
        </w:rPr>
        <w:t xml:space="preserve">на </w:t>
      </w:r>
      <w:r w:rsidR="00D66F94">
        <w:rPr>
          <w:rFonts w:ascii="Times New Roman" w:hAnsi="Times New Roman"/>
          <w:bCs/>
          <w:spacing w:val="-3"/>
          <w:lang w:val="bg-BG"/>
        </w:rPr>
        <w:t>К</w:t>
      </w:r>
      <w:r w:rsidR="00D66F94" w:rsidRPr="00D66F94">
        <w:rPr>
          <w:rFonts w:ascii="Times New Roman" w:hAnsi="Times New Roman"/>
          <w:bCs/>
          <w:spacing w:val="-3"/>
          <w:lang w:val="bg-BG"/>
        </w:rPr>
        <w:t>онтролиращия служител</w:t>
      </w:r>
      <w:r w:rsidR="00D66F94">
        <w:rPr>
          <w:rFonts w:ascii="Times New Roman" w:hAnsi="Times New Roman"/>
          <w:bCs/>
          <w:spacing w:val="-3"/>
          <w:lang w:val="en-US"/>
        </w:rPr>
        <w:t>)</w:t>
      </w:r>
      <w:r w:rsidRPr="00C127EA">
        <w:rPr>
          <w:rFonts w:ascii="Times New Roman" w:hAnsi="Times New Roman"/>
          <w:bCs/>
          <w:spacing w:val="-3"/>
          <w:lang w:val="bg-BG"/>
        </w:rPr>
        <w:t>, като се доставят от Изпълнителя при заявено писмено искане/поръчка по електронна поща от страна на Възложителя.</w:t>
      </w:r>
    </w:p>
    <w:p w14:paraId="55BC47E8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Изпълнителят доставя поръчаните резервни части и консумативи по предходната точка от този раздел, в срок съобразно посочения в Таблица-срокове № 2. Срокът за доставка започва да тече, считано от датата на поръчката.</w:t>
      </w:r>
    </w:p>
    <w:p w14:paraId="331F764F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Изпълнителят доставя и влага резервни части и консумативи с валиден гаранционен срок, съобразно предложението му в Таблица-срокове № 2 от този раздел. Гаранционният срок започва да тече, считано от датата на получаване на резервните части/консумативи. </w:t>
      </w:r>
    </w:p>
    <w:p w14:paraId="590A90A3" w14:textId="2F4149AB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При възникването на необходимост от стоки, невключени в Ценова таблица № 2</w:t>
      </w:r>
      <w:r w:rsidR="009E2CCA">
        <w:rPr>
          <w:rFonts w:ascii="Times New Roman" w:hAnsi="Times New Roman"/>
          <w:bCs/>
          <w:spacing w:val="-3"/>
          <w:lang w:val="bg-BG"/>
        </w:rPr>
        <w:t xml:space="preserve"> </w:t>
      </w:r>
      <w:r w:rsidR="009E2CCA" w:rsidRPr="00F82857">
        <w:rPr>
          <w:rFonts w:ascii="Times New Roman" w:hAnsi="Times New Roman"/>
          <w:bCs/>
          <w:spacing w:val="-3"/>
          <w:lang w:val="bg-BG"/>
        </w:rPr>
        <w:t>и/или Ценова листа /каталог/</w:t>
      </w:r>
      <w:r w:rsidRPr="00F82857">
        <w:rPr>
          <w:rFonts w:ascii="Times New Roman" w:hAnsi="Times New Roman"/>
          <w:bCs/>
          <w:spacing w:val="-3"/>
          <w:lang w:val="bg-BG"/>
        </w:rPr>
        <w:t>,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които са сходни с предмета на договора, Възложителят изисква от Изпълнителя оферта, която се съгласува с </w:t>
      </w:r>
      <w:r w:rsidR="003C1447">
        <w:rPr>
          <w:rFonts w:ascii="Times New Roman" w:hAnsi="Times New Roman"/>
          <w:bCs/>
          <w:spacing w:val="-3"/>
          <w:lang w:val="bg-BG"/>
        </w:rPr>
        <w:t>К</w:t>
      </w:r>
      <w:r w:rsidRPr="00C127EA">
        <w:rPr>
          <w:rFonts w:ascii="Times New Roman" w:hAnsi="Times New Roman"/>
          <w:bCs/>
          <w:spacing w:val="-3"/>
          <w:lang w:val="bg-BG"/>
        </w:rPr>
        <w:t>онтролиращия служител по договора от страна на Възложителя. Офертата следва да съдържа: производител, описание на техническите характеристики на стоките (резервни части и консумативи), срок за доставка в работни дни, гаранционен срок и срок на годност (в случай че е приложимо), при запазване условията на договора.</w:t>
      </w:r>
    </w:p>
    <w:p w14:paraId="055B9230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При заявяването на стоки по горната точка, Възложителят изпраща писмено искане/поръчка по електронна поща. Срокът за доставка започва да тече, считано от датата на поръчката.</w:t>
      </w:r>
    </w:p>
    <w:p w14:paraId="2503EE2A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В случай че подменена от Изпълнителя стока дефектира поради производствен дефект в рамките на гаранционния ѝ срок (в случай че е предложен), Изпълнителят се задължава за своя сметка да ремонтира съответния апарат и да подмени дефектиралата стока, както и да отстрани всякакви повреди в апарата, настъпили в резултат на дефектирането на стоката във възможно най-кратък срок, договорен между страните.</w:t>
      </w:r>
    </w:p>
    <w:p w14:paraId="22D499FA" w14:textId="06F3190C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Изпълнителят доставя консумативите с валиден минимален остатъчен срок на годност, </w:t>
      </w:r>
      <w:r w:rsidR="00CA327B" w:rsidRPr="00CA327B">
        <w:rPr>
          <w:rFonts w:ascii="Times New Roman" w:hAnsi="Times New Roman"/>
          <w:bCs/>
          <w:spacing w:val="-3"/>
          <w:lang w:val="bg-BG"/>
        </w:rPr>
        <w:t xml:space="preserve">който трябва да бъде не по-малък от 2/3 от целия срок на годност, </w:t>
      </w:r>
      <w:r w:rsidRPr="00C127EA">
        <w:rPr>
          <w:rFonts w:ascii="Times New Roman" w:hAnsi="Times New Roman"/>
          <w:bCs/>
          <w:spacing w:val="-3"/>
          <w:lang w:val="bg-BG"/>
        </w:rPr>
        <w:t>съобразно предложението му в Таблица-срокове № 2 от този раздел. Срокът за годност на консумативите стартира, считано от датата на доставянето им. Към датата на доставяне на консуматива минималният остатъчен срок на годност трябва да бъде не по-малък от 2/3 от целия срок на годност.</w:t>
      </w:r>
    </w:p>
    <w:p w14:paraId="5123C1B1" w14:textId="6C34EE6F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Доставените консумативи подлежат на рекламация при наличие на дефекти, които не са по вина на Възложителя, в срок до 30 (тридесет) дни след инсталирането им и пускане в употреба. Възложителят записва в съответните формуляри, част от системата му за управление, датата на въвеждане в експлоатация на консуматива. Възложителят описва подробно констатираните дефекти и изпраща информацията по електронна поща към </w:t>
      </w:r>
      <w:r w:rsidR="0006175A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зпълнителя. Изпълнителят се запознава с констатациите на </w:t>
      </w:r>
      <w:r w:rsidR="00D74222">
        <w:rPr>
          <w:rFonts w:ascii="Times New Roman" w:hAnsi="Times New Roman"/>
          <w:bCs/>
          <w:spacing w:val="-3"/>
          <w:lang w:val="bg-BG"/>
        </w:rPr>
        <w:t>В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ъзложителя и предприема оглед на място, в случай че е необходимо. В случай че предявяванията на Възложителя са основателни, </w:t>
      </w:r>
      <w:r w:rsidR="00D74222">
        <w:rPr>
          <w:rFonts w:ascii="Times New Roman" w:hAnsi="Times New Roman"/>
          <w:bCs/>
          <w:spacing w:val="-3"/>
          <w:lang w:val="bg-BG"/>
        </w:rPr>
        <w:t>И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зпълнителят подменя съответните консумативи за своя сметка във </w:t>
      </w:r>
      <w:r w:rsidRPr="00C127EA">
        <w:rPr>
          <w:rFonts w:ascii="Times New Roman" w:hAnsi="Times New Roman"/>
          <w:bCs/>
          <w:spacing w:val="-3"/>
          <w:lang w:val="bg-BG"/>
        </w:rPr>
        <w:lastRenderedPageBreak/>
        <w:t>възможно най-кратък срок, договорен между страните след писменото уведомяване за констатираните дефекти от Възложителя.</w:t>
      </w:r>
    </w:p>
    <w:p w14:paraId="63CA9424" w14:textId="723B971A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Гаранционният срок на изпълнените сервизни дейности по договора е не по-малко от 30 (тридесет) календарни дни, считано от датата на двустранно подписан протокол за извършената сервизна дейност, освен ако Изпълнителят не е оферирал по-дълъг срок в Таблица-срокове № 1. Гаранцията на сервизните дейности важи при правилна експлоатация от страна на Възложителя в съответствие с препоръките и изискванията на производителя на </w:t>
      </w:r>
      <w:r w:rsidR="0082428F">
        <w:rPr>
          <w:rFonts w:ascii="Times New Roman" w:hAnsi="Times New Roman"/>
          <w:bCs/>
          <w:spacing w:val="-3"/>
          <w:lang w:val="bg-BG"/>
        </w:rPr>
        <w:t>уреда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. </w:t>
      </w:r>
    </w:p>
    <w:p w14:paraId="6DA2180B" w14:textId="135FF919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 Гаранцията на изпълнените сервизни дейности включва отстраняване на повредите по вече извършените услуги в срок до 10 (десет) работни дни, считано от писменото уведомяване от страна на Възложителя. В този случай, трудът и транспортните разходи при отстраняването на повредите са за сметка на Изпълнителя, както и повторната подмяна на вложена резервна част или консуматив, при условие че са доставени и вложени с фабричен дефект;</w:t>
      </w:r>
    </w:p>
    <w:p w14:paraId="7E815E92" w14:textId="77777777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 Гаранцията на услугата не покрива стойността на необходимите допълнителни резервни части и консумативи, различни от вложените, които са за сметка на Възложителя.</w:t>
      </w:r>
    </w:p>
    <w:p w14:paraId="63433D07" w14:textId="77777777" w:rsidR="00404488" w:rsidRPr="00C127EA" w:rsidRDefault="00404488" w:rsidP="00404488">
      <w:pPr>
        <w:widowControl w:val="0"/>
        <w:ind w:right="-2"/>
        <w:jc w:val="both"/>
        <w:rPr>
          <w:rFonts w:ascii="Times New Roman" w:hAnsi="Times New Roman"/>
          <w:b/>
          <w:bCs/>
          <w:spacing w:val="-3"/>
          <w:lang w:val="bg-BG"/>
        </w:rPr>
      </w:pPr>
    </w:p>
    <w:p w14:paraId="2589233D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СЕРТИФИКАТИ</w:t>
      </w:r>
    </w:p>
    <w:p w14:paraId="1919B201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През целия срок на договора, Изпълнителят трябва да разполага с валиден сертификат за внедрена система за управление на качеството в съответствие с изискванията на </w:t>
      </w:r>
      <w:r w:rsidRPr="00C127EA">
        <w:rPr>
          <w:rFonts w:ascii="Times New Roman" w:hAnsi="Times New Roman"/>
          <w:lang w:val="bg-BG"/>
        </w:rPr>
        <w:t xml:space="preserve">EN ISO 9001:2015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или еквивалент. </w:t>
      </w:r>
    </w:p>
    <w:p w14:paraId="09CE97D9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В случай че в срока на договора Изпълнителят остане без валиден сертификат по т. 5.1</w:t>
      </w:r>
      <w:r>
        <w:rPr>
          <w:rFonts w:ascii="Times New Roman" w:hAnsi="Times New Roman"/>
          <w:bCs/>
          <w:spacing w:val="-3"/>
          <w:lang w:val="bg-BG"/>
        </w:rPr>
        <w:t xml:space="preserve">.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 от този раздел, то той е длъжен до 3 (три) работни дни, считано от датата на събитието, да уведоми Възложителя. </w:t>
      </w:r>
    </w:p>
    <w:p w14:paraId="55A41E3F" w14:textId="77777777" w:rsidR="00404488" w:rsidRPr="00C127EA" w:rsidRDefault="00404488" w:rsidP="00404488">
      <w:pPr>
        <w:widowControl w:val="0"/>
        <w:numPr>
          <w:ilvl w:val="1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В случай че след изтичане на срока на валидност на сертификата по т. 5.1. същият не бъде подновен, Възложителят има право да прекрати едностранно договора. </w:t>
      </w:r>
    </w:p>
    <w:p w14:paraId="14293C7E" w14:textId="77777777" w:rsidR="00404488" w:rsidRPr="00C127EA" w:rsidRDefault="00404488" w:rsidP="00404488">
      <w:pPr>
        <w:widowControl w:val="0"/>
        <w:ind w:right="-2"/>
        <w:jc w:val="both"/>
        <w:rPr>
          <w:rFonts w:ascii="Times New Roman" w:hAnsi="Times New Roman"/>
          <w:b/>
          <w:bCs/>
          <w:spacing w:val="-3"/>
          <w:lang w:val="bg-BG"/>
        </w:rPr>
      </w:pPr>
    </w:p>
    <w:p w14:paraId="0D026CF1" w14:textId="77777777" w:rsidR="00404488" w:rsidRPr="00C127EA" w:rsidRDefault="00404488" w:rsidP="00404488">
      <w:pPr>
        <w:widowControl w:val="0"/>
        <w:numPr>
          <w:ilvl w:val="0"/>
          <w:numId w:val="33"/>
        </w:numPr>
        <w:tabs>
          <w:tab w:val="left" w:pos="426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/>
          <w:bCs/>
          <w:spacing w:val="-3"/>
          <w:lang w:val="bg-BG"/>
        </w:rPr>
        <w:t>ИЗИСКВАНИЯ КЪМ ЛИЦАТА, АНГАЖИРАНИ В ИЗПЪЛНЕНИЕТО НА ДОГОВОРА</w:t>
      </w:r>
    </w:p>
    <w:p w14:paraId="311A11C0" w14:textId="77777777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При сервизното обслужване на лабораторните уреди/апаратурата, предмет на договора, Изпълнителят осигурява квалифициран персонал. </w:t>
      </w:r>
    </w:p>
    <w:p w14:paraId="5027AF11" w14:textId="2B9FFD46" w:rsidR="00404488" w:rsidRPr="00C127EA" w:rsidRDefault="00404488" w:rsidP="00404488">
      <w:pPr>
        <w:widowControl w:val="0"/>
        <w:numPr>
          <w:ilvl w:val="1"/>
          <w:numId w:val="33"/>
        </w:numPr>
        <w:tabs>
          <w:tab w:val="left" w:pos="567"/>
        </w:tabs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В случай на промяна на лицата (персонала), ангажирани с изпълнението на дейностите по договора, посочени в представения от Изпълнителя списък в хода на процедурата, то той </w:t>
      </w:r>
      <w:r w:rsidR="00AD45D4" w:rsidRPr="00C127EA">
        <w:rPr>
          <w:rFonts w:ascii="Times New Roman" w:hAnsi="Times New Roman"/>
          <w:bCs/>
          <w:spacing w:val="-3"/>
          <w:lang w:val="bg-BG"/>
        </w:rPr>
        <w:t xml:space="preserve">уведомява Възложителя за това обстоятелство </w:t>
      </w:r>
      <w:r w:rsidRPr="00C127EA">
        <w:rPr>
          <w:rFonts w:ascii="Times New Roman" w:hAnsi="Times New Roman"/>
          <w:bCs/>
          <w:spacing w:val="-3"/>
          <w:lang w:val="bg-BG"/>
        </w:rPr>
        <w:t xml:space="preserve">предварително по електронна поща,. Към уведомлението Изпълнителят прилага нов списък, съдържащ следната информация за новите лица: </w:t>
      </w:r>
    </w:p>
    <w:p w14:paraId="1D74017C" w14:textId="000007EF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 xml:space="preserve">име и фамилия на сервизния инженер, както и образование (специалност, </w:t>
      </w:r>
      <w:r w:rsidR="0096715F">
        <w:rPr>
          <w:rFonts w:ascii="Times New Roman" w:hAnsi="Times New Roman"/>
          <w:bCs/>
          <w:spacing w:val="-3"/>
          <w:lang w:val="bg-BG"/>
        </w:rPr>
        <w:t>науч</w:t>
      </w:r>
      <w:bookmarkStart w:id="0" w:name="_GoBack"/>
      <w:bookmarkEnd w:id="0"/>
      <w:r w:rsidR="0096715F">
        <w:rPr>
          <w:rFonts w:ascii="Times New Roman" w:hAnsi="Times New Roman"/>
          <w:bCs/>
          <w:spacing w:val="-3"/>
          <w:lang w:val="bg-BG"/>
        </w:rPr>
        <w:t>на степен</w:t>
      </w:r>
      <w:r w:rsidRPr="00C127EA">
        <w:rPr>
          <w:rFonts w:ascii="Times New Roman" w:hAnsi="Times New Roman"/>
          <w:bCs/>
          <w:spacing w:val="-3"/>
          <w:lang w:val="bg-BG"/>
        </w:rPr>
        <w:t>), професионална квалификация (завършено обучение, курсове и др.)</w:t>
      </w:r>
    </w:p>
    <w:p w14:paraId="0669B184" w14:textId="7A6549F3" w:rsidR="00404488" w:rsidRPr="00C127EA" w:rsidRDefault="00404488" w:rsidP="00404488">
      <w:pPr>
        <w:widowControl w:val="0"/>
        <w:numPr>
          <w:ilvl w:val="2"/>
          <w:numId w:val="33"/>
        </w:numPr>
        <w:ind w:left="0" w:right="-2" w:firstLine="0"/>
        <w:jc w:val="both"/>
        <w:rPr>
          <w:rFonts w:ascii="Times New Roman" w:hAnsi="Times New Roman"/>
          <w:bCs/>
          <w:spacing w:val="-3"/>
          <w:lang w:val="bg-BG"/>
        </w:rPr>
      </w:pPr>
      <w:r w:rsidRPr="00C127EA">
        <w:rPr>
          <w:rFonts w:ascii="Times New Roman" w:hAnsi="Times New Roman"/>
          <w:bCs/>
          <w:spacing w:val="-3"/>
          <w:lang w:val="bg-BG"/>
        </w:rPr>
        <w:t>име и фамилия на служителя, който да имат опит в логистичната дейност по договора и/или да взема решения свързани с рекламации и други възникнали казуси.</w:t>
      </w:r>
    </w:p>
    <w:p w14:paraId="474C6B3D" w14:textId="77777777" w:rsidR="00404488" w:rsidRPr="00BE3F00" w:rsidRDefault="00404488" w:rsidP="00BE3F00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</w:p>
    <w:sectPr w:rsidR="00404488" w:rsidRPr="00BE3F00" w:rsidSect="006C582C">
      <w:pgSz w:w="11906" w:h="16838" w:code="9"/>
      <w:pgMar w:top="1417" w:right="1417" w:bottom="1417" w:left="1417" w:header="709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D13470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7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8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1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3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5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7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0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6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7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28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9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0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1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4"/>
  </w:num>
  <w:num w:numId="3">
    <w:abstractNumId w:val="3"/>
  </w:num>
  <w:num w:numId="4">
    <w:abstractNumId w:val="20"/>
  </w:num>
  <w:num w:numId="5">
    <w:abstractNumId w:val="32"/>
  </w:num>
  <w:num w:numId="6">
    <w:abstractNumId w:val="5"/>
  </w:num>
  <w:num w:numId="7">
    <w:abstractNumId w:val="9"/>
  </w:num>
  <w:num w:numId="8">
    <w:abstractNumId w:val="7"/>
  </w:num>
  <w:num w:numId="9">
    <w:abstractNumId w:val="15"/>
  </w:num>
  <w:num w:numId="10">
    <w:abstractNumId w:val="16"/>
  </w:num>
  <w:num w:numId="11">
    <w:abstractNumId w:val="1"/>
  </w:num>
  <w:num w:numId="12">
    <w:abstractNumId w:val="12"/>
  </w:num>
  <w:num w:numId="13">
    <w:abstractNumId w:val="27"/>
  </w:num>
  <w:num w:numId="14">
    <w:abstractNumId w:val="0"/>
  </w:num>
  <w:num w:numId="15">
    <w:abstractNumId w:val="22"/>
  </w:num>
  <w:num w:numId="16">
    <w:abstractNumId w:val="31"/>
  </w:num>
  <w:num w:numId="17">
    <w:abstractNumId w:val="30"/>
  </w:num>
  <w:num w:numId="18">
    <w:abstractNumId w:val="28"/>
  </w:num>
  <w:num w:numId="19">
    <w:abstractNumId w:val="4"/>
  </w:num>
  <w:num w:numId="20">
    <w:abstractNumId w:val="26"/>
  </w:num>
  <w:num w:numId="21">
    <w:abstractNumId w:val="18"/>
  </w:num>
  <w:num w:numId="22">
    <w:abstractNumId w:val="24"/>
  </w:num>
  <w:num w:numId="23">
    <w:abstractNumId w:val="6"/>
  </w:num>
  <w:num w:numId="24">
    <w:abstractNumId w:val="19"/>
  </w:num>
  <w:num w:numId="25">
    <w:abstractNumId w:val="10"/>
  </w:num>
  <w:num w:numId="26">
    <w:abstractNumId w:val="17"/>
  </w:num>
  <w:num w:numId="27">
    <w:abstractNumId w:val="25"/>
  </w:num>
  <w:num w:numId="28">
    <w:abstractNumId w:val="21"/>
  </w:num>
  <w:num w:numId="29">
    <w:abstractNumId w:val="2"/>
  </w:num>
  <w:num w:numId="30">
    <w:abstractNumId w:val="13"/>
  </w:num>
  <w:num w:numId="31">
    <w:abstractNumId w:val="8"/>
  </w:num>
  <w:num w:numId="32">
    <w:abstractNumId w:val="11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7C55"/>
    <w:rsid w:val="00022061"/>
    <w:rsid w:val="0002474B"/>
    <w:rsid w:val="0003059C"/>
    <w:rsid w:val="00032E57"/>
    <w:rsid w:val="0005701A"/>
    <w:rsid w:val="0006175A"/>
    <w:rsid w:val="00065E87"/>
    <w:rsid w:val="000A4E36"/>
    <w:rsid w:val="000B6FB5"/>
    <w:rsid w:val="000C5757"/>
    <w:rsid w:val="000F61C2"/>
    <w:rsid w:val="00134E4E"/>
    <w:rsid w:val="00145799"/>
    <w:rsid w:val="0016191E"/>
    <w:rsid w:val="0017542A"/>
    <w:rsid w:val="0018200B"/>
    <w:rsid w:val="001A4811"/>
    <w:rsid w:val="001B531C"/>
    <w:rsid w:val="001C61CD"/>
    <w:rsid w:val="001E3FD9"/>
    <w:rsid w:val="002103F5"/>
    <w:rsid w:val="002139A9"/>
    <w:rsid w:val="002555BF"/>
    <w:rsid w:val="00267116"/>
    <w:rsid w:val="00294FCC"/>
    <w:rsid w:val="0030269B"/>
    <w:rsid w:val="003465EB"/>
    <w:rsid w:val="00370816"/>
    <w:rsid w:val="003B534A"/>
    <w:rsid w:val="003C1447"/>
    <w:rsid w:val="003C3586"/>
    <w:rsid w:val="003C3C81"/>
    <w:rsid w:val="003D6F35"/>
    <w:rsid w:val="00404488"/>
    <w:rsid w:val="0046202C"/>
    <w:rsid w:val="0047214B"/>
    <w:rsid w:val="004949AB"/>
    <w:rsid w:val="004A2BBD"/>
    <w:rsid w:val="004C1A5D"/>
    <w:rsid w:val="004D33A6"/>
    <w:rsid w:val="00522062"/>
    <w:rsid w:val="00545557"/>
    <w:rsid w:val="00551E64"/>
    <w:rsid w:val="00552EF8"/>
    <w:rsid w:val="0056687C"/>
    <w:rsid w:val="005A53FE"/>
    <w:rsid w:val="006431A2"/>
    <w:rsid w:val="006971F7"/>
    <w:rsid w:val="006C582C"/>
    <w:rsid w:val="006F7E2E"/>
    <w:rsid w:val="007420CB"/>
    <w:rsid w:val="00742A5F"/>
    <w:rsid w:val="00761161"/>
    <w:rsid w:val="007912C9"/>
    <w:rsid w:val="007A74C5"/>
    <w:rsid w:val="007C74D4"/>
    <w:rsid w:val="007E66A4"/>
    <w:rsid w:val="00811F06"/>
    <w:rsid w:val="0082428F"/>
    <w:rsid w:val="008333FC"/>
    <w:rsid w:val="008C757B"/>
    <w:rsid w:val="00952D04"/>
    <w:rsid w:val="00953571"/>
    <w:rsid w:val="0096715F"/>
    <w:rsid w:val="009717CF"/>
    <w:rsid w:val="009775CC"/>
    <w:rsid w:val="009C1BF7"/>
    <w:rsid w:val="009C54B1"/>
    <w:rsid w:val="009C7342"/>
    <w:rsid w:val="009D1216"/>
    <w:rsid w:val="009D1437"/>
    <w:rsid w:val="009D5C28"/>
    <w:rsid w:val="009E2CCA"/>
    <w:rsid w:val="009F4AB1"/>
    <w:rsid w:val="00A2313E"/>
    <w:rsid w:val="00A55EFD"/>
    <w:rsid w:val="00A719F9"/>
    <w:rsid w:val="00A77E36"/>
    <w:rsid w:val="00AA3BF9"/>
    <w:rsid w:val="00AD45D4"/>
    <w:rsid w:val="00B22C31"/>
    <w:rsid w:val="00B35D96"/>
    <w:rsid w:val="00B4518C"/>
    <w:rsid w:val="00B47D1B"/>
    <w:rsid w:val="00B524BA"/>
    <w:rsid w:val="00B824E2"/>
    <w:rsid w:val="00B873F7"/>
    <w:rsid w:val="00BA1A21"/>
    <w:rsid w:val="00BB2368"/>
    <w:rsid w:val="00BE3F00"/>
    <w:rsid w:val="00BE4645"/>
    <w:rsid w:val="00BF41E3"/>
    <w:rsid w:val="00C10A5B"/>
    <w:rsid w:val="00C446F7"/>
    <w:rsid w:val="00C55358"/>
    <w:rsid w:val="00C64700"/>
    <w:rsid w:val="00C8112A"/>
    <w:rsid w:val="00CA327B"/>
    <w:rsid w:val="00CB444D"/>
    <w:rsid w:val="00D03773"/>
    <w:rsid w:val="00D508DE"/>
    <w:rsid w:val="00D611B9"/>
    <w:rsid w:val="00D66F94"/>
    <w:rsid w:val="00D728CB"/>
    <w:rsid w:val="00D74222"/>
    <w:rsid w:val="00D97562"/>
    <w:rsid w:val="00DB0013"/>
    <w:rsid w:val="00DB1F0F"/>
    <w:rsid w:val="00E10EB2"/>
    <w:rsid w:val="00E508C6"/>
    <w:rsid w:val="00E61D0D"/>
    <w:rsid w:val="00E778B7"/>
    <w:rsid w:val="00E814B1"/>
    <w:rsid w:val="00E96635"/>
    <w:rsid w:val="00ED13B1"/>
    <w:rsid w:val="00ED3772"/>
    <w:rsid w:val="00ED3D1D"/>
    <w:rsid w:val="00ED40D6"/>
    <w:rsid w:val="00ED641A"/>
    <w:rsid w:val="00EE32A1"/>
    <w:rsid w:val="00F0551E"/>
    <w:rsid w:val="00F60303"/>
    <w:rsid w:val="00F776BE"/>
    <w:rsid w:val="00F82857"/>
    <w:rsid w:val="00F91421"/>
    <w:rsid w:val="00F927FE"/>
    <w:rsid w:val="00FE5C9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F168D-80A3-4426-8452-60F351607C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12603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7</cp:revision>
  <cp:lastPrinted>2023-11-07T12:13:00Z</cp:lastPrinted>
  <dcterms:created xsi:type="dcterms:W3CDTF">2024-02-22T12:44:00Z</dcterms:created>
  <dcterms:modified xsi:type="dcterms:W3CDTF">2024-02-22T13:04:00Z</dcterms:modified>
</cp:coreProperties>
</file>